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6339" w14:textId="47628D8F" w:rsidR="00EA3DB4" w:rsidRPr="008F208F" w:rsidRDefault="00EA3DB4" w:rsidP="00EA3DB4">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00EF7CF1" w:rsidRPr="00E04FE9">
        <w:rPr>
          <w:rFonts w:ascii="Arial" w:hAnsi="Arial" w:cs="Arial"/>
          <w:b/>
          <w:bCs/>
          <w:sz w:val="28"/>
        </w:rPr>
        <w:t>2</w:t>
      </w:r>
      <w:r w:rsidRPr="008F208F">
        <w:rPr>
          <w:rFonts w:ascii="Arial" w:hAnsi="Arial" w:cs="Arial"/>
          <w:b/>
          <w:bCs/>
          <w:sz w:val="28"/>
        </w:rPr>
        <w:t xml:space="preserve">                                                </w:t>
      </w:r>
      <w:r w:rsidR="00E04FE9">
        <w:rPr>
          <w:rFonts w:ascii="Arial" w:hAnsi="Arial" w:cs="Arial"/>
          <w:b/>
          <w:bCs/>
          <w:sz w:val="28"/>
          <w:lang w:val="en-GB"/>
        </w:rPr>
        <w:t xml:space="preserve">     </w:t>
      </w:r>
      <w:r w:rsidRPr="008F208F">
        <w:rPr>
          <w:rFonts w:ascii="Arial" w:hAnsi="Arial" w:cs="Arial"/>
          <w:b/>
          <w:bCs/>
          <w:sz w:val="28"/>
        </w:rPr>
        <w:t xml:space="preserve">  </w:t>
      </w:r>
      <w:r w:rsidR="00E04FE9" w:rsidRPr="00E04FE9">
        <w:rPr>
          <w:rFonts w:ascii="Arial" w:hAnsi="Arial" w:cs="Arial"/>
          <w:b/>
          <w:bCs/>
          <w:sz w:val="28"/>
        </w:rPr>
        <w:t>R1-2506105</w:t>
      </w:r>
    </w:p>
    <w:p w14:paraId="405F422F" w14:textId="77777777" w:rsidR="002D0F9F" w:rsidRPr="008F208F" w:rsidRDefault="002D0F9F" w:rsidP="002D0F9F">
      <w:pPr>
        <w:tabs>
          <w:tab w:val="center" w:pos="4536"/>
          <w:tab w:val="right" w:pos="9072"/>
        </w:tabs>
        <w:rPr>
          <w:rFonts w:ascii="Arial" w:eastAsia="MS Mincho" w:hAnsi="Arial" w:cs="Arial"/>
          <w:b/>
          <w:bCs/>
          <w:sz w:val="28"/>
          <w:lang w:eastAsia="ja-JP"/>
        </w:rPr>
      </w:pPr>
      <w:r w:rsidRPr="008F208F">
        <w:rPr>
          <w:rFonts w:ascii="Arial" w:hAnsi="Arial" w:cs="Arial"/>
          <w:b/>
          <w:bCs/>
          <w:sz w:val="28"/>
        </w:rPr>
        <w:t xml:space="preserve">Bengaluru, </w:t>
      </w:r>
      <w:r w:rsidRPr="008F208F">
        <w:rPr>
          <w:rFonts w:ascii="Arial" w:hAnsi="Arial" w:cs="Arial" w:hint="eastAsia"/>
          <w:b/>
          <w:bCs/>
          <w:sz w:val="28"/>
        </w:rPr>
        <w:t>India</w:t>
      </w:r>
      <w:r w:rsidRPr="008F208F">
        <w:rPr>
          <w:rFonts w:ascii="Arial" w:hAnsi="Arial" w:cs="Arial"/>
          <w:b/>
          <w:bCs/>
          <w:sz w:val="28"/>
        </w:rPr>
        <w:t xml:space="preserve">, </w:t>
      </w:r>
      <w:r w:rsidRPr="008F208F">
        <w:rPr>
          <w:rFonts w:ascii="Arial" w:hAnsi="Arial" w:cs="Arial" w:hint="eastAsia"/>
          <w:b/>
          <w:bCs/>
          <w:sz w:val="28"/>
        </w:rPr>
        <w:t xml:space="preserve">Aug </w:t>
      </w:r>
      <w:r w:rsidRPr="008F208F">
        <w:rPr>
          <w:rFonts w:ascii="Arial" w:eastAsia="DengXian" w:hAnsi="Arial" w:cs="Arial" w:hint="eastAsia"/>
          <w:b/>
          <w:bCs/>
          <w:sz w:val="28"/>
          <w:lang w:eastAsia="zh-CN"/>
        </w:rPr>
        <w:t>25</w:t>
      </w:r>
      <w:r w:rsidRPr="008F208F">
        <w:rPr>
          <w:rFonts w:ascii="Malgun Gothic" w:eastAsia="Malgun Gothic" w:hAnsi="Malgun Gothic" w:cs="Malgun Gothic" w:hint="eastAsia"/>
          <w:b/>
          <w:bCs/>
          <w:sz w:val="28"/>
          <w:vertAlign w:val="superscript"/>
          <w:lang w:eastAsia="ko-KR"/>
        </w:rPr>
        <w:t>th</w:t>
      </w:r>
      <w:r w:rsidRPr="008F208F">
        <w:rPr>
          <w:rFonts w:ascii="Arial" w:eastAsia="MS Mincho" w:hAnsi="Arial" w:cs="Arial"/>
          <w:b/>
          <w:bCs/>
          <w:sz w:val="28"/>
          <w:lang w:eastAsia="ja-JP"/>
        </w:rPr>
        <w:t xml:space="preserve"> </w:t>
      </w:r>
      <w:r w:rsidRPr="008F208F">
        <w:rPr>
          <w:rFonts w:ascii="Arial" w:hAnsi="Arial" w:cs="Arial"/>
          <w:b/>
          <w:bCs/>
          <w:sz w:val="28"/>
        </w:rPr>
        <w:t>– 2</w:t>
      </w:r>
      <w:r w:rsidRPr="008F208F">
        <w:rPr>
          <w:rFonts w:ascii="Arial" w:eastAsia="DengXian" w:hAnsi="Arial" w:cs="Arial" w:hint="eastAsia"/>
          <w:b/>
          <w:bCs/>
          <w:sz w:val="28"/>
          <w:lang w:eastAsia="zh-CN"/>
        </w:rPr>
        <w:t>9</w:t>
      </w:r>
      <w:r w:rsidRPr="008F208F">
        <w:rPr>
          <w:rFonts w:ascii="Arial" w:hAnsi="Arial" w:cs="Arial"/>
          <w:b/>
          <w:bCs/>
          <w:sz w:val="28"/>
          <w:vertAlign w:val="superscript"/>
        </w:rPr>
        <w:t>th</w:t>
      </w:r>
      <w:r w:rsidRPr="008F208F">
        <w:rPr>
          <w:rFonts w:ascii="Arial" w:eastAsia="MS Mincho" w:hAnsi="Arial" w:cs="Arial"/>
          <w:b/>
          <w:bCs/>
          <w:sz w:val="28"/>
          <w:lang w:eastAsia="ja-JP"/>
        </w:rPr>
        <w:t>, 2025</w:t>
      </w:r>
    </w:p>
    <w:p w14:paraId="3A0AE364" w14:textId="77777777" w:rsidR="00DB056D" w:rsidRPr="008F208F"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8F208F" w:rsidRDefault="00A40271" w:rsidP="00A40271">
      <w:pPr>
        <w:pStyle w:val="Comments"/>
        <w:rPr>
          <w:rFonts w:cs="Arial"/>
          <w:b/>
          <w:bCs/>
          <w:i w:val="0"/>
          <w:noProof w:val="0"/>
          <w:sz w:val="28"/>
          <w:szCs w:val="20"/>
          <w:lang w:eastAsia="ja-JP"/>
        </w:rPr>
      </w:pPr>
    </w:p>
    <w:p w14:paraId="166C5644" w14:textId="1F98CB45" w:rsidR="00A40271" w:rsidRPr="008F208F" w:rsidRDefault="00A40271" w:rsidP="00A40271">
      <w:pPr>
        <w:pStyle w:val="Header"/>
        <w:rPr>
          <w:rFonts w:eastAsia="MS Mincho" w:cs="Arial"/>
          <w:bCs/>
          <w:noProof w:val="0"/>
          <w:sz w:val="28"/>
          <w:lang w:eastAsia="ja-JP"/>
        </w:rPr>
      </w:pPr>
      <w:r w:rsidRPr="008F208F">
        <w:rPr>
          <w:rFonts w:eastAsia="MS Mincho" w:cs="Arial"/>
          <w:bCs/>
          <w:noProof w:val="0"/>
          <w:sz w:val="28"/>
          <w:lang w:eastAsia="ja-JP"/>
        </w:rPr>
        <w:t>Source: Google</w:t>
      </w:r>
    </w:p>
    <w:p w14:paraId="2A7FA900" w14:textId="1109348B" w:rsidR="00803842" w:rsidRPr="008F208F" w:rsidRDefault="00A40271" w:rsidP="00A40271">
      <w:pPr>
        <w:pStyle w:val="Header"/>
        <w:rPr>
          <w:rFonts w:eastAsia="MS Mincho" w:cs="Arial"/>
          <w:bCs/>
          <w:noProof w:val="0"/>
          <w:sz w:val="28"/>
          <w:lang w:eastAsia="ja-JP"/>
        </w:rPr>
      </w:pPr>
      <w:r w:rsidRPr="008F208F">
        <w:rPr>
          <w:rFonts w:eastAsia="MS Mincho" w:cs="Arial"/>
          <w:bCs/>
          <w:noProof w:val="0"/>
          <w:sz w:val="28"/>
          <w:lang w:eastAsia="ja-JP"/>
        </w:rPr>
        <w:t>Title:</w:t>
      </w:r>
      <w:r w:rsidRPr="008F208F">
        <w:rPr>
          <w:rFonts w:eastAsia="MS Mincho" w:cs="Arial"/>
          <w:bCs/>
          <w:noProof w:val="0"/>
          <w:sz w:val="28"/>
          <w:lang w:eastAsia="ja-JP"/>
        </w:rPr>
        <w:tab/>
      </w:r>
      <w:r w:rsidR="0064674E" w:rsidRPr="0064674E">
        <w:rPr>
          <w:rFonts w:eastAsia="MS Mincho" w:cs="Arial"/>
          <w:bCs/>
          <w:noProof w:val="0"/>
          <w:sz w:val="28"/>
          <w:lang w:eastAsia="ja-JP"/>
        </w:rPr>
        <w:t>On remaining issues for Low band Carrier Aggregation via switching</w:t>
      </w:r>
    </w:p>
    <w:p w14:paraId="43586964" w14:textId="14FB8F16" w:rsidR="006A16BD" w:rsidRPr="008F208F" w:rsidRDefault="00A40271" w:rsidP="00E95BDD">
      <w:pPr>
        <w:pStyle w:val="Header"/>
        <w:rPr>
          <w:rFonts w:eastAsia="MS Mincho" w:cs="Arial"/>
          <w:bCs/>
          <w:noProof w:val="0"/>
          <w:sz w:val="28"/>
          <w:lang w:eastAsia="ja-JP"/>
        </w:rPr>
      </w:pPr>
      <w:r w:rsidRPr="008F208F">
        <w:rPr>
          <w:rFonts w:eastAsia="MS Mincho" w:cs="Arial"/>
          <w:bCs/>
          <w:noProof w:val="0"/>
          <w:sz w:val="28"/>
          <w:lang w:eastAsia="ja-JP"/>
        </w:rPr>
        <w:t>Document for: Discussion and Decision</w:t>
      </w:r>
      <w:bookmarkEnd w:id="1"/>
      <w:bookmarkEnd w:id="2"/>
    </w:p>
    <w:p w14:paraId="560C448D" w14:textId="77777777" w:rsidR="00EE036A" w:rsidRPr="008F208F" w:rsidRDefault="00EE036A" w:rsidP="00EE036A">
      <w:pPr>
        <w:pStyle w:val="Heading1"/>
        <w:jc w:val="both"/>
        <w:rPr>
          <w:lang w:eastAsia="zh-TW"/>
        </w:rPr>
      </w:pPr>
      <w:r w:rsidRPr="008F208F">
        <w:rPr>
          <w:rFonts w:hint="eastAsia"/>
          <w:lang w:eastAsia="zh-TW"/>
        </w:rPr>
        <w:t>Introduction</w:t>
      </w:r>
    </w:p>
    <w:p w14:paraId="71EBE7F5" w14:textId="55BA39A2" w:rsidR="00803842" w:rsidRPr="008F208F" w:rsidRDefault="00803842" w:rsidP="00803842">
      <w:pPr>
        <w:pStyle w:val="0Maintext"/>
        <w:spacing w:before="100" w:beforeAutospacing="1" w:after="0" w:afterAutospacing="0" w:line="276" w:lineRule="auto"/>
        <w:ind w:firstLine="0"/>
        <w:rPr>
          <w:rFonts w:eastAsia="Malgun Gothic" w:cs="Times New Roman"/>
          <w:sz w:val="24"/>
          <w:szCs w:val="24"/>
          <w:lang w:val="en-US" w:eastAsia="ko-KR"/>
        </w:rPr>
      </w:pPr>
      <w:r w:rsidRPr="008F208F">
        <w:rPr>
          <w:rFonts w:eastAsia="Malgun Gothic" w:cs="Times New Roman"/>
          <w:sz w:val="24"/>
          <w:szCs w:val="24"/>
          <w:lang w:val="en-US" w:eastAsia="ko-KR"/>
        </w:rPr>
        <w:t>A RAN4-led work item on low-band carrier aggregation via switching was approved in RAN#106, and it was further revised in RAN#107 with following objectives</w:t>
      </w:r>
      <w:r w:rsidR="002319E1" w:rsidRPr="008F208F">
        <w:rPr>
          <w:rFonts w:eastAsia="Malgun Gothic" w:cs="Times New Roman"/>
          <w:sz w:val="24"/>
          <w:szCs w:val="24"/>
          <w:lang w:val="en-US" w:eastAsia="ko-KR"/>
        </w:rPr>
        <w:t xml:space="preserve"> </w:t>
      </w:r>
      <w:r w:rsidR="002319E1" w:rsidRPr="008F208F">
        <w:rPr>
          <w:rFonts w:eastAsia="Malgun Gothic" w:cs="Times New Roman"/>
          <w:sz w:val="24"/>
          <w:szCs w:val="24"/>
          <w:lang w:val="en-US" w:eastAsia="ko-KR"/>
        </w:rPr>
        <w:fldChar w:fldCharType="begin"/>
      </w:r>
      <w:r w:rsidR="002319E1" w:rsidRPr="008F208F">
        <w:rPr>
          <w:rFonts w:eastAsia="Malgun Gothic" w:cs="Times New Roman"/>
          <w:sz w:val="24"/>
          <w:szCs w:val="24"/>
          <w:lang w:val="en-US" w:eastAsia="ko-KR"/>
        </w:rPr>
        <w:instrText xml:space="preserve"> REF _Ref196908162 \r \h </w:instrText>
      </w:r>
      <w:r w:rsidR="002319E1" w:rsidRPr="008F208F">
        <w:rPr>
          <w:rFonts w:eastAsia="Malgun Gothic" w:cs="Times New Roman"/>
          <w:sz w:val="24"/>
          <w:szCs w:val="24"/>
          <w:lang w:val="en-US" w:eastAsia="ko-KR"/>
        </w:rPr>
      </w:r>
      <w:r w:rsidR="002319E1" w:rsidRPr="008F208F">
        <w:rPr>
          <w:rFonts w:eastAsia="Malgun Gothic" w:cs="Times New Roman"/>
          <w:sz w:val="24"/>
          <w:szCs w:val="24"/>
          <w:lang w:val="en-US" w:eastAsia="ko-KR"/>
        </w:rPr>
        <w:fldChar w:fldCharType="separate"/>
      </w:r>
      <w:r w:rsidR="002319E1" w:rsidRPr="008F208F">
        <w:rPr>
          <w:rFonts w:eastAsia="Malgun Gothic" w:cs="Times New Roman"/>
          <w:sz w:val="24"/>
          <w:szCs w:val="24"/>
          <w:lang w:val="en-US" w:eastAsia="ko-KR"/>
        </w:rPr>
        <w:t>[1]</w:t>
      </w:r>
      <w:r w:rsidR="002319E1" w:rsidRPr="008F208F">
        <w:rPr>
          <w:rFonts w:eastAsia="Malgun Gothic" w:cs="Times New Roman"/>
          <w:sz w:val="24"/>
          <w:szCs w:val="24"/>
          <w:lang w:val="en-US" w:eastAsia="ko-KR"/>
        </w:rPr>
        <w:fldChar w:fldCharType="end"/>
      </w:r>
      <w:r w:rsidRPr="008F208F">
        <w:rPr>
          <w:rFonts w:eastAsia="Malgun Gothic" w:cs="Times New Roman"/>
          <w:sz w:val="24"/>
          <w:szCs w:val="24"/>
          <w:lang w:val="en-US" w:eastAsia="ko-KR"/>
        </w:rPr>
        <w:t>:</w:t>
      </w:r>
    </w:p>
    <w:p w14:paraId="022EA4E8" w14:textId="77777777" w:rsidR="00803842" w:rsidRPr="008F208F" w:rsidRDefault="00803842" w:rsidP="00803842">
      <w:pPr>
        <w:spacing w:line="276" w:lineRule="auto"/>
        <w:jc w:val="both"/>
        <w:rPr>
          <w:rFonts w:eastAsia="Yu Mincho"/>
          <w:sz w:val="22"/>
          <w:szCs w:val="22"/>
        </w:rPr>
      </w:pPr>
    </w:p>
    <w:p w14:paraId="52791858" w14:textId="77777777" w:rsidR="00803842" w:rsidRPr="008F208F" w:rsidRDefault="00803842" w:rsidP="00803842">
      <w:pPr>
        <w:pStyle w:val="0Maintext"/>
        <w:spacing w:after="0" w:afterAutospacing="0" w:line="276" w:lineRule="auto"/>
        <w:ind w:firstLine="0"/>
        <w:rPr>
          <w:rFonts w:eastAsia="Yu Mincho"/>
          <w:bCs/>
          <w:i/>
          <w:iCs/>
          <w:sz w:val="22"/>
          <w:szCs w:val="22"/>
          <w:lang w:val="en-US"/>
        </w:rPr>
      </w:pPr>
      <w:r w:rsidRPr="008F208F">
        <w:rPr>
          <w:rFonts w:eastAsia="Yu Mincho"/>
          <w:bCs/>
          <w:i/>
          <w:iCs/>
          <w:sz w:val="22"/>
          <w:szCs w:val="22"/>
          <w:lang w:val="en-US"/>
        </w:rPr>
        <w:t>Introduce physical layer procedures and requirements to enable low band carrier aggregation via switching according to the following objectives:</w:t>
      </w:r>
    </w:p>
    <w:p w14:paraId="0AA7CD6D"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Specify UE requirements, including at least switching gap (if needed), and corresponding physical layer procedures to allow switching between {case 1, case 2} [RAN4, RAN1]</w:t>
      </w:r>
    </w:p>
    <w:p w14:paraId="628096D4"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Case 1: Tx/Rx on FDD carrier 1 and no Rx on SDL carrier 2</w:t>
      </w:r>
    </w:p>
    <w:p w14:paraId="7A2720BF"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Case 2: Rx on SDL carrier 2 and no Tx/Rx on FDD carrier 1</w:t>
      </w:r>
    </w:p>
    <w:p w14:paraId="4A204881"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RAN1 to specify only a semi-static switching pattern based on RRC configuration, liaising with RAN2 and RAN4 as necessary</w:t>
      </w:r>
    </w:p>
    <w:p w14:paraId="538A6623"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Specify the switching delay and time mask for carrier switching [RAN4]</w:t>
      </w:r>
    </w:p>
    <w:p w14:paraId="7F7D2E6B"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Specify necessary RRM requirements [RAN4]</w:t>
      </w:r>
    </w:p>
    <w:p w14:paraId="006AB9AF"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Define the corresponding UE capabilities [RAN4, RAN2, RAN1]</w:t>
      </w:r>
    </w:p>
    <w:p w14:paraId="196216F7" w14:textId="77777777" w:rsidR="00803842" w:rsidRPr="008F208F" w:rsidRDefault="00803842" w:rsidP="00803842">
      <w:pPr>
        <w:pStyle w:val="0Maintext"/>
        <w:numPr>
          <w:ilvl w:val="0"/>
          <w:numId w:val="111"/>
        </w:numPr>
        <w:spacing w:after="0" w:afterAutospacing="0" w:line="276" w:lineRule="auto"/>
        <w:rPr>
          <w:rFonts w:eastAsia="Yu Mincho"/>
          <w:i/>
          <w:iCs/>
          <w:sz w:val="22"/>
          <w:szCs w:val="22"/>
          <w:lang w:val="en-US"/>
        </w:rPr>
      </w:pPr>
      <w:r w:rsidRPr="008F208F">
        <w:rPr>
          <w:rFonts w:eastAsia="Yu Mincho"/>
          <w:i/>
          <w:iCs/>
          <w:sz w:val="22"/>
          <w:szCs w:val="22"/>
          <w:lang w:val="en-US"/>
        </w:rPr>
        <w:t>Consider the following deployment constraints:</w:t>
      </w:r>
    </w:p>
    <w:p w14:paraId="6317B189"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The carrier frequency for all cases is &lt;1 GHz</w:t>
      </w:r>
    </w:p>
    <w:p w14:paraId="1F02B5C4"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Co-located and synchronized network deployment for both carriers</w:t>
      </w:r>
    </w:p>
    <w:p w14:paraId="4603EC08"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Both carriers are in a single TAG</w:t>
      </w:r>
    </w:p>
    <w:p w14:paraId="1F82C1DB" w14:textId="77777777" w:rsidR="00803842" w:rsidRPr="008F208F" w:rsidRDefault="00803842" w:rsidP="00803842">
      <w:pPr>
        <w:pStyle w:val="0Maintext"/>
        <w:numPr>
          <w:ilvl w:val="1"/>
          <w:numId w:val="111"/>
        </w:numPr>
        <w:spacing w:after="0" w:afterAutospacing="0" w:line="276" w:lineRule="auto"/>
        <w:rPr>
          <w:rFonts w:eastAsia="Yu Mincho"/>
          <w:i/>
          <w:iCs/>
          <w:sz w:val="22"/>
          <w:szCs w:val="22"/>
          <w:lang w:val="en-US"/>
        </w:rPr>
      </w:pPr>
      <w:r w:rsidRPr="008F208F">
        <w:rPr>
          <w:rFonts w:eastAsia="Yu Mincho"/>
          <w:i/>
          <w:iCs/>
          <w:sz w:val="22"/>
          <w:szCs w:val="22"/>
          <w:lang w:val="en-US"/>
        </w:rPr>
        <w:t>SCS 15KHz on both carriers</w:t>
      </w:r>
    </w:p>
    <w:p w14:paraId="7653A4F4" w14:textId="77777777" w:rsidR="00803842" w:rsidRPr="008F208F" w:rsidRDefault="00803842" w:rsidP="00803842">
      <w:pPr>
        <w:pStyle w:val="0Maintext"/>
        <w:spacing w:after="0" w:afterAutospacing="0" w:line="276" w:lineRule="auto"/>
        <w:ind w:firstLine="0"/>
        <w:rPr>
          <w:rFonts w:eastAsia="Yu Mincho"/>
          <w:i/>
          <w:iCs/>
          <w:sz w:val="22"/>
          <w:szCs w:val="22"/>
          <w:lang w:val="en-US"/>
        </w:rPr>
      </w:pPr>
      <w:r w:rsidRPr="008F208F">
        <w:rPr>
          <w:rFonts w:eastAsia="Yu Mincho"/>
          <w:i/>
          <w:iCs/>
          <w:sz w:val="22"/>
          <w:szCs w:val="22"/>
          <w:lang w:val="en-US"/>
        </w:rPr>
        <w:t>Note 1: Specify requirements for the feature with the following example band combination: CA_n5A-n29A in this WI, with additional band combinations to be handled via the basket work item approach</w:t>
      </w:r>
    </w:p>
    <w:p w14:paraId="01EC1FE7" w14:textId="77777777" w:rsidR="00803842" w:rsidRPr="008F208F" w:rsidRDefault="00803842" w:rsidP="00803842">
      <w:pPr>
        <w:pStyle w:val="0Maintext"/>
        <w:spacing w:after="0" w:afterAutospacing="0" w:line="276" w:lineRule="auto"/>
        <w:ind w:firstLine="0"/>
        <w:rPr>
          <w:rFonts w:eastAsia="Yu Mincho"/>
          <w:i/>
          <w:iCs/>
          <w:sz w:val="22"/>
          <w:szCs w:val="22"/>
          <w:lang w:val="en-US"/>
        </w:rPr>
      </w:pPr>
      <w:r w:rsidRPr="008F208F">
        <w:rPr>
          <w:rFonts w:eastAsia="Yu Mincho"/>
          <w:i/>
          <w:iCs/>
          <w:sz w:val="22"/>
          <w:szCs w:val="22"/>
          <w:lang w:val="en-US"/>
        </w:rPr>
        <w:t>Note 2: Strive to minimize the RAN1 impact</w:t>
      </w:r>
    </w:p>
    <w:p w14:paraId="5A908CC0" w14:textId="77777777" w:rsidR="00803842" w:rsidRPr="008F208F" w:rsidRDefault="00803842" w:rsidP="00803842">
      <w:pPr>
        <w:pStyle w:val="0Maintext"/>
        <w:spacing w:after="0" w:afterAutospacing="0" w:line="240" w:lineRule="auto"/>
        <w:ind w:firstLine="0"/>
        <w:rPr>
          <w:rFonts w:eastAsia="Yu Mincho"/>
          <w:i/>
          <w:iCs/>
          <w:sz w:val="22"/>
          <w:szCs w:val="22"/>
          <w:lang w:val="en-US"/>
        </w:rPr>
      </w:pPr>
    </w:p>
    <w:p w14:paraId="548DDD31" w14:textId="47E9BFBC" w:rsidR="000620FC" w:rsidRPr="008F208F" w:rsidRDefault="00803842" w:rsidP="00803842">
      <w:pPr>
        <w:pStyle w:val="0Maintext"/>
        <w:spacing w:before="100" w:beforeAutospacing="1" w:after="0" w:afterAutospacing="0" w:line="276" w:lineRule="auto"/>
        <w:ind w:firstLine="0"/>
        <w:rPr>
          <w:rFonts w:eastAsia="Malgun Gothic" w:cs="Times New Roman"/>
          <w:sz w:val="24"/>
          <w:szCs w:val="24"/>
          <w:lang w:val="en-US" w:eastAsia="ko-KR"/>
        </w:rPr>
      </w:pPr>
      <w:r w:rsidRPr="008F208F">
        <w:rPr>
          <w:rFonts w:eastAsia="Malgun Gothic" w:cs="Times New Roman"/>
          <w:sz w:val="24"/>
          <w:szCs w:val="24"/>
          <w:lang w:val="en-US" w:eastAsia="ko-KR"/>
        </w:rPr>
        <w:t xml:space="preserve">In </w:t>
      </w:r>
      <w:r w:rsidR="00EE036A" w:rsidRPr="008F208F">
        <w:rPr>
          <w:rFonts w:eastAsia="Malgun Gothic" w:cs="Times New Roman"/>
          <w:sz w:val="24"/>
          <w:szCs w:val="24"/>
          <w:lang w:val="en-US" w:eastAsia="ko-KR"/>
        </w:rPr>
        <w:t xml:space="preserve">this </w:t>
      </w:r>
      <w:proofErr w:type="spellStart"/>
      <w:r w:rsidR="00EE036A" w:rsidRPr="008F208F">
        <w:rPr>
          <w:rFonts w:eastAsia="Malgun Gothic" w:cs="Times New Roman"/>
          <w:sz w:val="24"/>
          <w:szCs w:val="24"/>
          <w:lang w:val="en-US" w:eastAsia="ko-KR"/>
        </w:rPr>
        <w:t>Tdoc</w:t>
      </w:r>
      <w:proofErr w:type="spellEnd"/>
      <w:r w:rsidR="00EE036A" w:rsidRPr="008F208F">
        <w:rPr>
          <w:rFonts w:eastAsia="Malgun Gothic" w:cs="Times New Roman"/>
          <w:sz w:val="24"/>
          <w:szCs w:val="24"/>
          <w:lang w:val="en-US" w:eastAsia="ko-KR"/>
        </w:rPr>
        <w:t xml:space="preserve">, we </w:t>
      </w:r>
      <w:r w:rsidR="00602D4C" w:rsidRPr="008F208F">
        <w:rPr>
          <w:rFonts w:eastAsia="Malgun Gothic" w:cs="Times New Roman"/>
          <w:sz w:val="24"/>
          <w:szCs w:val="24"/>
          <w:lang w:val="en-US" w:eastAsia="ko-KR"/>
        </w:rPr>
        <w:t xml:space="preserve">share our views </w:t>
      </w:r>
      <w:r w:rsidR="00FE6F04" w:rsidRPr="008F208F">
        <w:rPr>
          <w:rFonts w:eastAsia="Malgun Gothic" w:cs="Times New Roman"/>
          <w:sz w:val="24"/>
          <w:szCs w:val="24"/>
          <w:lang w:val="en-US" w:eastAsia="ko-KR"/>
        </w:rPr>
        <w:t>on the remaining open issues on LBCA via switching. We focus on key areas including pattern restrictions, collision handling and other important procedural aspects.</w:t>
      </w:r>
    </w:p>
    <w:p w14:paraId="5956B37F" w14:textId="77777777" w:rsidR="00A25A31" w:rsidRPr="008F208F" w:rsidRDefault="00A25A31" w:rsidP="00E05E9E">
      <w:pPr>
        <w:jc w:val="both"/>
        <w:rPr>
          <w:rFonts w:eastAsia="Times"/>
          <w:lang w:val="en-US"/>
        </w:rPr>
      </w:pPr>
    </w:p>
    <w:p w14:paraId="56520583" w14:textId="77777777" w:rsidR="00300D49" w:rsidRPr="008F208F" w:rsidRDefault="00300D49" w:rsidP="00E05E9E">
      <w:pPr>
        <w:jc w:val="both"/>
        <w:rPr>
          <w:rFonts w:eastAsia="Times"/>
          <w:lang w:val="en-US"/>
        </w:rPr>
      </w:pPr>
    </w:p>
    <w:p w14:paraId="1B6977A8" w14:textId="77777777" w:rsidR="00184246" w:rsidRPr="008F208F" w:rsidRDefault="00184246" w:rsidP="002A5AFD">
      <w:pPr>
        <w:jc w:val="both"/>
        <w:rPr>
          <w:rFonts w:eastAsia="Times"/>
          <w:lang w:val="en-US"/>
        </w:rPr>
      </w:pPr>
    </w:p>
    <w:p w14:paraId="1345CB7B" w14:textId="161BAE78" w:rsidR="00AE633A" w:rsidRPr="008F208F" w:rsidRDefault="00AE633A" w:rsidP="00184246">
      <w:pPr>
        <w:pStyle w:val="Heading1"/>
        <w:jc w:val="both"/>
        <w:rPr>
          <w:rFonts w:eastAsia="Malgun Gothic"/>
          <w:lang w:val="en-US" w:eastAsia="ko-KR"/>
        </w:rPr>
      </w:pPr>
      <w:r w:rsidRPr="008F208F">
        <w:rPr>
          <w:rFonts w:eastAsia="Malgun Gothic"/>
          <w:lang w:val="en-US" w:eastAsia="ko-KR"/>
        </w:rPr>
        <w:lastRenderedPageBreak/>
        <w:t>Switching Pattern</w:t>
      </w:r>
    </w:p>
    <w:p w14:paraId="12BE6504" w14:textId="1ABE13E9" w:rsidR="00AE633A" w:rsidRPr="008F208F" w:rsidRDefault="00AE633A" w:rsidP="00AE633A">
      <w:pPr>
        <w:pStyle w:val="NormalWeb"/>
        <w:spacing w:before="0" w:beforeAutospacing="0" w:after="240" w:afterAutospacing="0"/>
        <w:rPr>
          <w:rFonts w:eastAsia="Malgun Gothic"/>
          <w:lang w:val="en-US" w:eastAsia="ko-KR"/>
        </w:rPr>
      </w:pPr>
      <w:r w:rsidRPr="008F208F">
        <w:rPr>
          <w:rFonts w:eastAsia="Malgun Gothic"/>
          <w:lang w:val="en-US" w:eastAsia="ko-KR"/>
        </w:rPr>
        <w:t xml:space="preserve">  In </w:t>
      </w:r>
      <w:r w:rsidRPr="008F208F">
        <w:t>RAN1#120bis</w:t>
      </w:r>
      <w:r w:rsidR="007A7DAA" w:rsidRPr="008F208F">
        <w:rPr>
          <w:lang w:val="en-GB"/>
        </w:rPr>
        <w:t xml:space="preserve"> and </w:t>
      </w:r>
      <w:r w:rsidR="007A7DAA" w:rsidRPr="008F208F">
        <w:t>RAN1#12</w:t>
      </w:r>
      <w:r w:rsidR="007A7DAA" w:rsidRPr="008F208F">
        <w:rPr>
          <w:lang w:val="en-GB"/>
        </w:rPr>
        <w:t>1</w:t>
      </w:r>
      <w:r w:rsidRPr="008F208F">
        <w:t>, the following agreement has been reached</w:t>
      </w:r>
      <w:r w:rsidRPr="008F208F">
        <w:rPr>
          <w:lang w:val="en-GB"/>
        </w:rPr>
        <w:t xml:space="preserve"> for the </w:t>
      </w:r>
      <w:r w:rsidRPr="008F208F">
        <w:t>semi-static switching pattern:</w:t>
      </w:r>
    </w:p>
    <w:p w14:paraId="19770EEB" w14:textId="77777777" w:rsidR="00AE633A" w:rsidRPr="008F208F" w:rsidRDefault="00AE633A" w:rsidP="00AE633A">
      <w:pPr>
        <w:rPr>
          <w:rFonts w:eastAsia="DengXian"/>
          <w:highlight w:val="green"/>
          <w:lang w:eastAsia="zh-CN"/>
        </w:rPr>
      </w:pPr>
      <w:r w:rsidRPr="008F208F">
        <w:rPr>
          <w:rFonts w:eastAsia="DengXian"/>
          <w:highlight w:val="green"/>
          <w:lang w:eastAsia="zh-CN"/>
        </w:rPr>
        <w:t>Agreement</w:t>
      </w:r>
    </w:p>
    <w:p w14:paraId="078405B9" w14:textId="77777777" w:rsidR="00AE633A" w:rsidRPr="008F208F" w:rsidRDefault="00AE633A" w:rsidP="00AE633A">
      <w:pPr>
        <w:pStyle w:val="ListParagraph"/>
        <w:numPr>
          <w:ilvl w:val="0"/>
          <w:numId w:val="117"/>
        </w:numPr>
        <w:spacing w:after="0" w:line="240" w:lineRule="auto"/>
      </w:pPr>
      <w:r w:rsidRPr="008F208F">
        <w:t>For RRC configuration of semi-static switching pattern in Rel-19 low NR band carrier aggregation via switching, support bitmap design</w:t>
      </w:r>
    </w:p>
    <w:p w14:paraId="6EDC2E18" w14:textId="77777777" w:rsidR="00AE633A" w:rsidRPr="008F208F" w:rsidRDefault="00AE633A" w:rsidP="00AE633A">
      <w:pPr>
        <w:pStyle w:val="ListParagraph"/>
        <w:numPr>
          <w:ilvl w:val="1"/>
          <w:numId w:val="117"/>
        </w:numPr>
        <w:spacing w:after="0" w:line="240" w:lineRule="auto"/>
      </w:pPr>
      <w:r w:rsidRPr="008F208F">
        <w:t xml:space="preserve">NW configures a periodicity, denoted as </w:t>
      </w:r>
      <m:oMath>
        <m:r>
          <m:rPr>
            <m:sty m:val="p"/>
          </m:rPr>
          <w:rPr>
            <w:rFonts w:ascii="Cambria Math" w:hAnsi="Cambria Math"/>
          </w:rPr>
          <m:t>P</m:t>
        </m:r>
      </m:oMath>
      <w:r w:rsidRPr="008F208F">
        <w:t xml:space="preserve"> slots, and a bitmap of P bits. Each bit in the bitmap indicates which carrier is configured for the corresponding slot, ‘0’ indicates FDD carrier 1, and ‘1’ indicates SDL carrier 2</w:t>
      </w:r>
    </w:p>
    <w:p w14:paraId="0FE14F26" w14:textId="77777777" w:rsidR="00AE633A" w:rsidRPr="008F208F" w:rsidRDefault="00AE633A" w:rsidP="00AE633A">
      <w:pPr>
        <w:pStyle w:val="ListParagraph"/>
        <w:numPr>
          <w:ilvl w:val="1"/>
          <w:numId w:val="117"/>
        </w:numPr>
        <w:spacing w:after="0" w:line="240" w:lineRule="auto"/>
      </w:pPr>
      <w:r w:rsidRPr="008F208F">
        <w:t>The pattern starts from the beginning of SFN 0 of PCell</w:t>
      </w:r>
    </w:p>
    <w:p w14:paraId="51A62504" w14:textId="77777777" w:rsidR="00AE633A" w:rsidRPr="008F208F" w:rsidRDefault="00AE633A" w:rsidP="00AE633A">
      <w:pPr>
        <w:pStyle w:val="ListParagraph"/>
        <w:numPr>
          <w:ilvl w:val="0"/>
          <w:numId w:val="117"/>
        </w:numPr>
        <w:spacing w:after="0" w:line="240" w:lineRule="auto"/>
      </w:pPr>
      <w:r w:rsidRPr="008F208F">
        <w:t xml:space="preserve">Restriction of maximum X switch(es) within Y slot(s), </w:t>
      </w:r>
    </w:p>
    <w:p w14:paraId="6DE6FDD7" w14:textId="77777777" w:rsidR="00AE633A" w:rsidRPr="008F208F" w:rsidRDefault="00AE633A" w:rsidP="00AE633A">
      <w:pPr>
        <w:pStyle w:val="ListParagraph"/>
        <w:numPr>
          <w:ilvl w:val="1"/>
          <w:numId w:val="117"/>
        </w:numPr>
        <w:spacing w:after="0" w:line="240" w:lineRule="auto"/>
      </w:pPr>
      <w:r w:rsidRPr="008F208F">
        <w:t xml:space="preserve">FFS: detailed value and relation of X and Y. </w:t>
      </w:r>
    </w:p>
    <w:p w14:paraId="51A516D1" w14:textId="77777777" w:rsidR="00AE633A" w:rsidRPr="008F208F" w:rsidRDefault="00AE633A" w:rsidP="00AE633A">
      <w:pPr>
        <w:pStyle w:val="ListParagraph"/>
        <w:numPr>
          <w:ilvl w:val="0"/>
          <w:numId w:val="117"/>
        </w:numPr>
        <w:spacing w:after="0" w:line="240" w:lineRule="auto"/>
      </w:pPr>
      <w:r w:rsidRPr="008F208F">
        <w:t xml:space="preserve">FFS: other restriction </w:t>
      </w:r>
    </w:p>
    <w:p w14:paraId="7E1BB57A" w14:textId="77777777" w:rsidR="00AE633A" w:rsidRPr="008F208F" w:rsidRDefault="00AE633A" w:rsidP="002A5AFD">
      <w:pPr>
        <w:jc w:val="both"/>
        <w:rPr>
          <w:rFonts w:eastAsia="Times"/>
          <w:lang w:val="en-US"/>
        </w:rPr>
      </w:pPr>
    </w:p>
    <w:p w14:paraId="1B096874" w14:textId="77777777" w:rsidR="00AE633A" w:rsidRPr="008F208F" w:rsidRDefault="00AE633A" w:rsidP="002A5AFD">
      <w:pPr>
        <w:jc w:val="both"/>
        <w:rPr>
          <w:rFonts w:eastAsia="Times"/>
          <w:lang w:val="en-US"/>
        </w:rPr>
      </w:pPr>
    </w:p>
    <w:p w14:paraId="201BA28C" w14:textId="77777777" w:rsidR="007A7DAA" w:rsidRPr="008F208F" w:rsidRDefault="007A7DAA" w:rsidP="002A5AFD">
      <w:pPr>
        <w:jc w:val="both"/>
        <w:rPr>
          <w:rFonts w:eastAsia="Times"/>
          <w:lang w:val="en-US"/>
        </w:rPr>
      </w:pPr>
    </w:p>
    <w:p w14:paraId="62495D53" w14:textId="77777777" w:rsidR="007A7DAA" w:rsidRPr="008F208F" w:rsidRDefault="007A7DAA" w:rsidP="007A7DAA">
      <w:pPr>
        <w:contextualSpacing/>
        <w:rPr>
          <w:rFonts w:eastAsia="DengXian"/>
          <w:highlight w:val="green"/>
          <w:lang w:eastAsia="zh-CN"/>
        </w:rPr>
      </w:pPr>
      <w:r w:rsidRPr="008F208F">
        <w:rPr>
          <w:rFonts w:eastAsia="DengXian" w:hint="eastAsia"/>
          <w:highlight w:val="green"/>
          <w:lang w:eastAsia="zh-CN"/>
        </w:rPr>
        <w:t>Agreement</w:t>
      </w:r>
    </w:p>
    <w:p w14:paraId="338E3011" w14:textId="77777777" w:rsidR="007A7DAA" w:rsidRPr="008F208F" w:rsidRDefault="007A7DAA" w:rsidP="007A7DAA">
      <w:pPr>
        <w:contextualSpacing/>
      </w:pPr>
      <w:r w:rsidRPr="008F208F">
        <w:t>For Rel-19 low NR band carrier aggregation via switching, support configuration of only one switching pattern to a UE based on UE-specific RRC configuration.</w:t>
      </w:r>
    </w:p>
    <w:p w14:paraId="72D4A1A0" w14:textId="77777777" w:rsidR="007A7DAA" w:rsidRPr="008F208F" w:rsidRDefault="007A7DAA" w:rsidP="002A5AFD">
      <w:pPr>
        <w:jc w:val="both"/>
        <w:rPr>
          <w:rFonts w:eastAsia="Times"/>
          <w:lang w:val="en-US"/>
        </w:rPr>
      </w:pPr>
    </w:p>
    <w:p w14:paraId="7CA68634" w14:textId="579AFFB3" w:rsidR="00E8559E" w:rsidRPr="008F208F" w:rsidRDefault="00E8559E" w:rsidP="002A5AFD">
      <w:pPr>
        <w:jc w:val="both"/>
        <w:rPr>
          <w:rFonts w:eastAsia="Times"/>
          <w:lang w:val="en-US"/>
        </w:rPr>
      </w:pPr>
      <w:r w:rsidRPr="008F208F">
        <w:rPr>
          <w:rFonts w:eastAsia="Times"/>
          <w:lang w:val="en-US"/>
        </w:rPr>
        <w:t>The discussion on pattern restrictions remains inconclusive. We maintain our view that some form of restriction is essential to ensure predictable UE behavior and avoid overly complex and inefficient implementations.</w:t>
      </w:r>
    </w:p>
    <w:p w14:paraId="212B5F44" w14:textId="77777777" w:rsidR="00E8559E" w:rsidRPr="008F208F" w:rsidRDefault="00E8559E" w:rsidP="002A5AFD">
      <w:pPr>
        <w:jc w:val="both"/>
        <w:rPr>
          <w:rFonts w:eastAsia="Times"/>
          <w:lang w:val="en-US"/>
        </w:rPr>
      </w:pPr>
    </w:p>
    <w:p w14:paraId="35C39D74" w14:textId="73DE3996" w:rsidR="007A7DAA" w:rsidRPr="008F208F" w:rsidRDefault="0072420E" w:rsidP="002A5AFD">
      <w:pPr>
        <w:jc w:val="both"/>
        <w:rPr>
          <w:rFonts w:eastAsia="Times"/>
          <w:lang w:val="en-US"/>
        </w:rPr>
      </w:pPr>
      <w:r w:rsidRPr="008F208F">
        <w:rPr>
          <w:rFonts w:eastAsia="Times"/>
          <w:lang w:val="en-US"/>
        </w:rPr>
        <w:t>We proposed a sliding window approach to avoid the clustering of switches. Although, the current proposals on max X switches in Y slots offer a good starting point</w:t>
      </w:r>
      <w:r w:rsidR="00AE3D5A" w:rsidRPr="008F208F">
        <w:rPr>
          <w:rFonts w:eastAsia="Times"/>
          <w:lang w:val="en-US"/>
        </w:rPr>
        <w:t xml:space="preserve"> but this limitation does not guarantee a clustering of switches at the end of one period and at the start of the following period. </w:t>
      </w:r>
    </w:p>
    <w:p w14:paraId="0266FD66" w14:textId="77777777" w:rsidR="00AE3D5A" w:rsidRPr="008F208F" w:rsidRDefault="00AE3D5A" w:rsidP="002A5AFD">
      <w:pPr>
        <w:jc w:val="both"/>
        <w:rPr>
          <w:rFonts w:eastAsia="Times"/>
          <w:lang w:val="en-US"/>
        </w:rPr>
      </w:pPr>
    </w:p>
    <w:p w14:paraId="433191CF" w14:textId="5C440F30" w:rsidR="00AE3D5A" w:rsidRPr="008F208F" w:rsidRDefault="00AE3D5A" w:rsidP="002A5AFD">
      <w:pPr>
        <w:jc w:val="both"/>
        <w:rPr>
          <w:rFonts w:eastAsia="Times"/>
          <w:lang w:val="en-US"/>
        </w:rPr>
      </w:pPr>
      <w:r w:rsidRPr="008F208F">
        <w:rPr>
          <w:lang w:val="en-GB"/>
        </w:rPr>
        <w:t xml:space="preserve">Therefore, for the selection of the values </w:t>
      </w:r>
      <w:r w:rsidRPr="008F208F">
        <w:rPr>
          <w:i/>
          <w:iCs/>
          <w:lang w:val="en-GB"/>
        </w:rPr>
        <w:t>X</w:t>
      </w:r>
      <w:r w:rsidRPr="008F208F">
        <w:rPr>
          <w:lang w:val="en-GB"/>
        </w:rPr>
        <w:t xml:space="preserve"> and </w:t>
      </w:r>
      <w:r w:rsidRPr="008F208F">
        <w:rPr>
          <w:i/>
          <w:iCs/>
          <w:lang w:val="en-GB"/>
        </w:rPr>
        <w:t>Y</w:t>
      </w:r>
      <w:r w:rsidRPr="008F208F">
        <w:rPr>
          <w:lang w:val="en-GB"/>
        </w:rPr>
        <w:t xml:space="preserve">, </w:t>
      </w:r>
      <w:r w:rsidRPr="008F208F">
        <w:t xml:space="preserve">a sliding window within any continuous number </w:t>
      </w:r>
      <w:r w:rsidRPr="008F208F">
        <w:rPr>
          <w:i/>
          <w:iCs/>
        </w:rPr>
        <w:t xml:space="preserve">Y </w:t>
      </w:r>
      <w:r w:rsidRPr="008F208F">
        <w:t xml:space="preserve">of slots (which could span across the pattern periodicities) </w:t>
      </w:r>
      <w:r w:rsidR="008A405B" w:rsidRPr="008F208F">
        <w:rPr>
          <w:lang w:val="en-GB"/>
        </w:rPr>
        <w:t>should</w:t>
      </w:r>
      <w:r w:rsidRPr="008F208F">
        <w:t xml:space="preserve"> be </w:t>
      </w:r>
      <w:r w:rsidRPr="008F208F">
        <w:rPr>
          <w:lang w:val="en-GB"/>
        </w:rPr>
        <w:t xml:space="preserve">considered and </w:t>
      </w:r>
      <w:r w:rsidRPr="008F208F">
        <w:t xml:space="preserve">the number of carrier switches in the continuous window of </w:t>
      </w:r>
      <w:r w:rsidRPr="008F208F">
        <w:rPr>
          <w:i/>
          <w:iCs/>
        </w:rPr>
        <w:t>Y</w:t>
      </w:r>
      <w:r w:rsidRPr="008F208F">
        <w:t xml:space="preserve"> slots must not exceed </w:t>
      </w:r>
      <w:r w:rsidRPr="008F208F">
        <w:rPr>
          <w:i/>
          <w:iCs/>
        </w:rPr>
        <w:t>X</w:t>
      </w:r>
      <w:r w:rsidRPr="008F208F">
        <w:t>.</w:t>
      </w:r>
    </w:p>
    <w:p w14:paraId="4A12E44B" w14:textId="77777777" w:rsidR="00AE3D5A" w:rsidRPr="008F208F" w:rsidRDefault="00AE3D5A" w:rsidP="002A5AFD">
      <w:pPr>
        <w:jc w:val="both"/>
        <w:rPr>
          <w:rFonts w:eastAsia="Times"/>
          <w:lang w:val="en-US"/>
        </w:rPr>
      </w:pPr>
    </w:p>
    <w:p w14:paraId="7AC11DDE" w14:textId="77777777" w:rsidR="00AE633A" w:rsidRPr="008F208F" w:rsidRDefault="00AE633A" w:rsidP="002878C2">
      <w:pPr>
        <w:rPr>
          <w:rFonts w:eastAsiaTheme="minorEastAsia"/>
          <w:b/>
          <w:bCs/>
          <w:i/>
          <w:iCs/>
          <w:noProof/>
          <w:lang w:val="en-GB" w:eastAsia="zh-CN"/>
        </w:rPr>
      </w:pPr>
    </w:p>
    <w:p w14:paraId="5DA3D365" w14:textId="519F92B0" w:rsidR="00AE633A" w:rsidRPr="008F208F" w:rsidRDefault="00AE633A" w:rsidP="00AE633A">
      <w:pPr>
        <w:pStyle w:val="ListParagraph"/>
        <w:numPr>
          <w:ilvl w:val="0"/>
          <w:numId w:val="66"/>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For the selection of the values X and Y, a sliding window within any continuous number Y of slots (which could span across the pattern periodicities) </w:t>
      </w:r>
      <w:r w:rsidR="008A405B" w:rsidRPr="008F208F">
        <w:rPr>
          <w:rFonts w:ascii="Times New Roman" w:eastAsiaTheme="minorEastAsia" w:hAnsi="Times New Roman" w:cs="Times New Roman"/>
          <w:b/>
          <w:bCs/>
          <w:i/>
          <w:iCs/>
          <w:noProof/>
          <w:lang w:val="en-GB" w:eastAsia="zh-CN"/>
        </w:rPr>
        <w:t>should</w:t>
      </w:r>
      <w:r w:rsidRPr="008F208F">
        <w:rPr>
          <w:rFonts w:ascii="Times New Roman" w:eastAsiaTheme="minorEastAsia" w:hAnsi="Times New Roman" w:cs="Times New Roman"/>
          <w:b/>
          <w:bCs/>
          <w:i/>
          <w:iCs/>
          <w:noProof/>
          <w:lang w:val="en-GB" w:eastAsia="zh-CN"/>
        </w:rPr>
        <w:t xml:space="preserve"> be </w:t>
      </w:r>
      <w:r w:rsidR="008A405B" w:rsidRPr="008F208F">
        <w:rPr>
          <w:rFonts w:ascii="Times New Roman" w:eastAsiaTheme="minorEastAsia" w:hAnsi="Times New Roman" w:cs="Times New Roman"/>
          <w:b/>
          <w:bCs/>
          <w:i/>
          <w:iCs/>
          <w:noProof/>
          <w:lang w:val="en-GB" w:eastAsia="zh-CN"/>
        </w:rPr>
        <w:t>considered</w:t>
      </w:r>
      <w:r w:rsidRPr="008F208F">
        <w:rPr>
          <w:rFonts w:ascii="Times New Roman" w:eastAsiaTheme="minorEastAsia" w:hAnsi="Times New Roman" w:cs="Times New Roman"/>
          <w:b/>
          <w:bCs/>
          <w:i/>
          <w:iCs/>
          <w:noProof/>
          <w:lang w:val="en-GB" w:eastAsia="zh-CN"/>
        </w:rPr>
        <w:t xml:space="preserve">, the number of carrier switches in the continuous window of Y slots </w:t>
      </w:r>
      <w:r w:rsidR="008A405B" w:rsidRPr="008F208F">
        <w:rPr>
          <w:rFonts w:ascii="Times New Roman" w:eastAsiaTheme="minorEastAsia" w:hAnsi="Times New Roman" w:cs="Times New Roman"/>
          <w:b/>
          <w:bCs/>
          <w:i/>
          <w:iCs/>
          <w:noProof/>
          <w:lang w:val="en-GB" w:eastAsia="zh-CN"/>
        </w:rPr>
        <w:t>should</w:t>
      </w:r>
      <w:r w:rsidRPr="008F208F">
        <w:rPr>
          <w:rFonts w:ascii="Times New Roman" w:eastAsiaTheme="minorEastAsia" w:hAnsi="Times New Roman" w:cs="Times New Roman"/>
          <w:b/>
          <w:bCs/>
          <w:i/>
          <w:iCs/>
          <w:noProof/>
          <w:lang w:val="en-GB" w:eastAsia="zh-CN"/>
        </w:rPr>
        <w:t xml:space="preserve"> not exceed X.</w:t>
      </w:r>
    </w:p>
    <w:p w14:paraId="72A50176" w14:textId="3F3E5663" w:rsidR="00AE633A" w:rsidRPr="008F208F" w:rsidRDefault="00AE633A" w:rsidP="002878C2">
      <w:pPr>
        <w:pStyle w:val="ListParagraph"/>
        <w:ind w:left="360"/>
        <w:rPr>
          <w:rFonts w:ascii="Times New Roman" w:eastAsiaTheme="minorEastAsia" w:hAnsi="Times New Roman" w:cs="Times New Roman"/>
          <w:b/>
          <w:bCs/>
          <w:i/>
          <w:iCs/>
          <w:strike/>
          <w:noProof/>
          <w:lang w:val="en-GB" w:eastAsia="zh-CN"/>
        </w:rPr>
      </w:pPr>
    </w:p>
    <w:p w14:paraId="5BB6E9C0" w14:textId="200DDB30" w:rsidR="00184246" w:rsidRPr="008F208F" w:rsidRDefault="008F208F" w:rsidP="00184246">
      <w:pPr>
        <w:pStyle w:val="Heading1"/>
        <w:jc w:val="both"/>
        <w:rPr>
          <w:rFonts w:eastAsia="Malgun Gothic"/>
          <w:lang w:val="en-US" w:eastAsia="ko-KR"/>
        </w:rPr>
      </w:pPr>
      <w:r>
        <w:rPr>
          <w:rFonts w:eastAsia="Malgun Gothic"/>
          <w:lang w:val="en-US" w:eastAsia="ko-KR"/>
        </w:rPr>
        <w:lastRenderedPageBreak/>
        <w:t>A</w:t>
      </w:r>
      <w:r w:rsidR="00184246" w:rsidRPr="008F208F">
        <w:rPr>
          <w:rFonts w:eastAsia="Malgun Gothic"/>
          <w:lang w:val="en-US" w:eastAsia="ko-KR"/>
        </w:rPr>
        <w:t>dditional switches</w:t>
      </w:r>
    </w:p>
    <w:p w14:paraId="0FE46508" w14:textId="083B8EA7" w:rsidR="00170834" w:rsidRPr="008F208F" w:rsidRDefault="00170834" w:rsidP="00170834">
      <w:pPr>
        <w:pStyle w:val="NormalWeb"/>
      </w:pPr>
      <w:r w:rsidRPr="008F208F">
        <w:t xml:space="preserve">Current understanding of semi-static carrier switching </w:t>
      </w:r>
      <w:r w:rsidR="0012403F" w:rsidRPr="008F208F">
        <w:rPr>
          <w:lang w:val="en-GB"/>
        </w:rPr>
        <w:t xml:space="preserve">pattern </w:t>
      </w:r>
      <w:r w:rsidRPr="008F208F">
        <w:t xml:space="preserve">implies a UE follows a </w:t>
      </w:r>
      <w:r w:rsidR="0012403F" w:rsidRPr="008F208F">
        <w:rPr>
          <w:lang w:val="en-GB"/>
        </w:rPr>
        <w:t xml:space="preserve">semi-static RRC </w:t>
      </w:r>
      <w:r w:rsidRPr="008F208F">
        <w:t xml:space="preserve">configured schedule. However, certain UE-initiated procedures or network-initiated critical events may necessitate deviation from this pattern. For example, if a UE needs to perform a </w:t>
      </w:r>
      <w:r w:rsidRPr="008F208F">
        <w:rPr>
          <w:lang w:val="en-GB"/>
        </w:rPr>
        <w:t xml:space="preserve">RACH </w:t>
      </w:r>
      <w:r w:rsidRPr="008F208F">
        <w:t xml:space="preserve">procedure, it typically does so on the PCell. If the semi-static pattern has scheduled the UE onto an </w:t>
      </w:r>
      <w:r w:rsidRPr="008F208F">
        <w:rPr>
          <w:lang w:val="en-GB"/>
        </w:rPr>
        <w:t>the</w:t>
      </w:r>
      <w:r w:rsidRPr="008F208F">
        <w:t xml:space="preserve"> SDL SCell with no UL </w:t>
      </w:r>
      <w:r w:rsidRPr="008F208F">
        <w:rPr>
          <w:lang w:val="en-GB"/>
        </w:rPr>
        <w:t>transmission</w:t>
      </w:r>
      <w:r w:rsidRPr="008F208F">
        <w:t xml:space="preserve"> for a given duration, the UE might be delayed in initiating RACH if it cannot autonomously switch back to the PCell.</w:t>
      </w:r>
      <w:r w:rsidRPr="008F208F">
        <w:rPr>
          <w:lang w:val="en-GB"/>
        </w:rPr>
        <w:t xml:space="preserve"> </w:t>
      </w:r>
      <w:r w:rsidRPr="008F208F">
        <w:t xml:space="preserve">More critically, if an event requiring immediate UE attention on the PCell occurs while the UE is operating on an SCell as per its configured pattern, the UE might be unable to switch back to the PCell in a timely manner. Examples of such events include: </w:t>
      </w:r>
    </w:p>
    <w:p w14:paraId="4804ADA3" w14:textId="77777777" w:rsidR="00170834" w:rsidRPr="008F208F" w:rsidRDefault="00170834" w:rsidP="00170834">
      <w:pPr>
        <w:numPr>
          <w:ilvl w:val="1"/>
          <w:numId w:val="120"/>
        </w:numPr>
        <w:spacing w:before="100" w:beforeAutospacing="1" w:after="100" w:afterAutospacing="1"/>
      </w:pPr>
      <w:r w:rsidRPr="008F208F">
        <w:t>Imminent transmission of a handover command on PCell.</w:t>
      </w:r>
    </w:p>
    <w:p w14:paraId="768615DC" w14:textId="77777777" w:rsidR="00170834" w:rsidRPr="008F208F" w:rsidRDefault="00170834" w:rsidP="00170834">
      <w:pPr>
        <w:numPr>
          <w:ilvl w:val="1"/>
          <w:numId w:val="120"/>
        </w:numPr>
        <w:spacing w:before="100" w:beforeAutospacing="1" w:after="100" w:afterAutospacing="1"/>
      </w:pPr>
      <w:r w:rsidRPr="008F208F">
        <w:t>Network initiation of lower-layer triggered mobility procedures requiring PCell interaction.</w:t>
      </w:r>
    </w:p>
    <w:p w14:paraId="11019C59" w14:textId="77777777" w:rsidR="00170834" w:rsidRPr="008F208F" w:rsidRDefault="00170834" w:rsidP="00170834">
      <w:pPr>
        <w:numPr>
          <w:ilvl w:val="1"/>
          <w:numId w:val="120"/>
        </w:numPr>
        <w:spacing w:before="100" w:beforeAutospacing="1" w:after="100" w:afterAutospacing="1"/>
      </w:pPr>
      <w:r w:rsidRPr="008F208F">
        <w:t>PCell experiencing beam degradation requiring Beam Failure Recovery (BFR) procedures.</w:t>
      </w:r>
    </w:p>
    <w:p w14:paraId="2D112A9C" w14:textId="4FB5E499" w:rsidR="00170834" w:rsidRPr="008F208F" w:rsidRDefault="00170834" w:rsidP="00170834">
      <w:pPr>
        <w:numPr>
          <w:ilvl w:val="1"/>
          <w:numId w:val="120"/>
        </w:numPr>
        <w:spacing w:before="100" w:beforeAutospacing="1" w:after="100" w:afterAutospacing="1"/>
      </w:pPr>
      <w:r w:rsidRPr="008F208F">
        <w:t>Pending Radio Link Failure (RLF) on PCell, where the UE might need to perform measurements or receive recovery instructions on PCell.</w:t>
      </w:r>
    </w:p>
    <w:p w14:paraId="20ABB2FE" w14:textId="304B8D71" w:rsidR="00170834" w:rsidRPr="008F208F" w:rsidRDefault="00170834" w:rsidP="00170834">
      <w:pPr>
        <w:pStyle w:val="NormalWeb"/>
      </w:pPr>
      <w:r w:rsidRPr="008F208F">
        <w:t>Strict adherence to the SCell duration in such scenarios could lead to the UE missing critical signaling. This might result in the UE becoming isolated or appearing unresponsive while on the SCell, potentially leading to RLF declaration, call drops, or failure of essential mobility procedures.</w:t>
      </w:r>
    </w:p>
    <w:p w14:paraId="75FE8978" w14:textId="3E5B3311" w:rsidR="00170834" w:rsidRPr="008F208F" w:rsidRDefault="00170834" w:rsidP="00170834">
      <w:pPr>
        <w:pStyle w:val="NormalWeb"/>
      </w:pPr>
      <w:r w:rsidRPr="008F208F">
        <w:t>To mitigate the risks outlined above, it is crucial to define a mechanism that allows the UE to rapidly switch back to the PCell, even if this means deviating from the ongoing semi-static carrier switching pattern. Such a mechanism would act as a high-priority override to ensure the UE can receive and act upon critical PCell procedures.</w:t>
      </w:r>
    </w:p>
    <w:p w14:paraId="63568342" w14:textId="2F7B7BB0" w:rsidR="005F2396" w:rsidRPr="008F208F" w:rsidRDefault="00170834" w:rsidP="005F2396">
      <w:pPr>
        <w:pStyle w:val="NormalWeb"/>
      </w:pPr>
      <w:r w:rsidRPr="008F208F">
        <w:t>The envisioned mechanism would involve a trigger, receivable by the UE on its currently active SCell, instructing it to switch back to the PCell.</w:t>
      </w:r>
    </w:p>
    <w:p w14:paraId="04DBF205" w14:textId="221B3FC2" w:rsidR="00184246" w:rsidRPr="008F208F" w:rsidRDefault="005F2396" w:rsidP="00E95BDD">
      <w:pPr>
        <w:pStyle w:val="ListParagraph"/>
        <w:numPr>
          <w:ilvl w:val="0"/>
          <w:numId w:val="66"/>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The UE can perform or </w:t>
      </w:r>
      <w:r w:rsidR="0012403F" w:rsidRPr="008F208F">
        <w:rPr>
          <w:rFonts w:ascii="Times New Roman" w:eastAsiaTheme="minorEastAsia" w:hAnsi="Times New Roman" w:cs="Times New Roman"/>
          <w:b/>
          <w:bCs/>
          <w:i/>
          <w:iCs/>
          <w:noProof/>
          <w:lang w:val="en-GB" w:eastAsia="zh-CN"/>
        </w:rPr>
        <w:t>the network can trigger the UE</w:t>
      </w:r>
      <w:r w:rsidRPr="008F208F">
        <w:rPr>
          <w:rFonts w:ascii="Times New Roman" w:eastAsiaTheme="minorEastAsia" w:hAnsi="Times New Roman" w:cs="Times New Roman"/>
          <w:b/>
          <w:bCs/>
          <w:i/>
          <w:iCs/>
          <w:noProof/>
          <w:lang w:val="en-GB" w:eastAsia="zh-CN"/>
        </w:rPr>
        <w:t xml:space="preserv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6051D539" w14:textId="151C54AA" w:rsidR="0012403F" w:rsidRPr="008F208F" w:rsidRDefault="0012403F" w:rsidP="0012403F">
      <w:pPr>
        <w:pStyle w:val="NormalWeb"/>
      </w:pPr>
      <w:r w:rsidRPr="008F208F">
        <w:rPr>
          <w:lang w:val="en-GB"/>
        </w:rPr>
        <w:t>Also, c</w:t>
      </w:r>
      <w:r w:rsidRPr="008F208F">
        <w:t xml:space="preserve">onsideration is required where critical procedures, such as Beam Failure Recovery (BFR) or handover, are triggered while the UE is operating on the PCell, and a switch to an SCell is imminently scheduled according to the RRC-configured semi-static carrier switching pattern. </w:t>
      </w:r>
      <w:r w:rsidRPr="008F208F">
        <w:rPr>
          <w:lang w:val="en-GB"/>
        </w:rPr>
        <w:t>Following</w:t>
      </w:r>
      <w:r w:rsidRPr="008F208F">
        <w:t xml:space="preserve"> the carrier switching pattern in such situations could disrupt the ongoing BFR or handover procedure. Prioritization of these critical procedures on the PCell over </w:t>
      </w:r>
      <w:r w:rsidRPr="008F208F">
        <w:rPr>
          <w:lang w:val="en-GB"/>
        </w:rPr>
        <w:t>the configured</w:t>
      </w:r>
      <w:r w:rsidRPr="008F208F">
        <w:t xml:space="preserve"> pattern switch is therefore essential for service continuity and robustness.</w:t>
      </w:r>
    </w:p>
    <w:p w14:paraId="33AFBAC4" w14:textId="6B6676EC" w:rsidR="001911FA" w:rsidRPr="008F208F" w:rsidRDefault="0012403F" w:rsidP="00DC3777">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lastRenderedPageBreak/>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12010DBF" w14:textId="63723086" w:rsidR="001911FA" w:rsidRPr="008F208F" w:rsidRDefault="001911FA" w:rsidP="002A5AFD">
      <w:pPr>
        <w:pStyle w:val="Heading1"/>
        <w:jc w:val="both"/>
        <w:rPr>
          <w:rFonts w:eastAsia="Malgun Gothic"/>
          <w:lang w:val="en-US" w:eastAsia="ko-KR"/>
        </w:rPr>
      </w:pPr>
      <w:r w:rsidRPr="008F208F">
        <w:rPr>
          <w:rFonts w:eastAsia="Malgun Gothic"/>
          <w:lang w:val="en-US" w:eastAsia="ko-KR"/>
        </w:rPr>
        <w:t>Co-existence between measurement gaps and switching gaps</w:t>
      </w:r>
    </w:p>
    <w:p w14:paraId="4232CBDB" w14:textId="77777777" w:rsidR="001911FA" w:rsidRPr="008F208F" w:rsidRDefault="001911FA" w:rsidP="001911FA">
      <w:pPr>
        <w:pStyle w:val="NormalWeb"/>
      </w:pPr>
      <w:r w:rsidRPr="008F208F">
        <w:t>The interaction between RRC-configured measurement gaps (MGs)</w:t>
      </w:r>
      <w:r w:rsidRPr="008F208F">
        <w:rPr>
          <w:lang w:val="en-GB"/>
        </w:rPr>
        <w:t xml:space="preserve"> </w:t>
      </w:r>
      <w:r w:rsidRPr="008F208F">
        <w:t>utilized, for example, for inter-frequency or inter-RAT measurements</w:t>
      </w:r>
      <w:r w:rsidRPr="008F208F">
        <w:rPr>
          <w:lang w:val="en-GB"/>
        </w:rPr>
        <w:t xml:space="preserve"> </w:t>
      </w:r>
      <w:r w:rsidRPr="008F208F">
        <w:t xml:space="preserve">and </w:t>
      </w:r>
      <w:r w:rsidRPr="008F208F">
        <w:rPr>
          <w:lang w:val="en-GB"/>
        </w:rPr>
        <w:t xml:space="preserve">the configured </w:t>
      </w:r>
      <w:r w:rsidRPr="008F208F">
        <w:t xml:space="preserve">FDD/SDL semi-static carrier switching pattern needs to be addressed for cases where an MG coincides with a switching gap of the pattern. </w:t>
      </w:r>
    </w:p>
    <w:p w14:paraId="37047492" w14:textId="40F8D37D" w:rsidR="001911FA" w:rsidRPr="008F208F" w:rsidRDefault="001911FA" w:rsidP="001911FA">
      <w:pPr>
        <w:pStyle w:val="NormalWeb"/>
        <w:jc w:val="center"/>
      </w:pPr>
      <w:r w:rsidRPr="008F208F">
        <w:rPr>
          <w:noProof/>
        </w:rPr>
        <w:drawing>
          <wp:inline distT="0" distB="0" distL="0" distR="0" wp14:anchorId="24D64312" wp14:editId="47D83977">
            <wp:extent cx="3663950" cy="2638417"/>
            <wp:effectExtent l="0" t="0" r="0" b="3810"/>
            <wp:docPr id="17506198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19817" name="Picture 1750619817"/>
                    <pic:cNvPicPr/>
                  </pic:nvPicPr>
                  <pic:blipFill>
                    <a:blip r:embed="rId6"/>
                    <a:stretch>
                      <a:fillRect/>
                    </a:stretch>
                  </pic:blipFill>
                  <pic:spPr>
                    <a:xfrm>
                      <a:off x="0" y="0"/>
                      <a:ext cx="3667461" cy="2640946"/>
                    </a:xfrm>
                    <a:prstGeom prst="rect">
                      <a:avLst/>
                    </a:prstGeom>
                  </pic:spPr>
                </pic:pic>
              </a:graphicData>
            </a:graphic>
          </wp:inline>
        </w:drawing>
      </w:r>
    </w:p>
    <w:p w14:paraId="331C1BBE" w14:textId="0A69B23F" w:rsidR="001911FA" w:rsidRPr="008F208F" w:rsidRDefault="001911FA" w:rsidP="001911FA">
      <w:pPr>
        <w:pStyle w:val="NormalWeb"/>
      </w:pPr>
      <w:r w:rsidRPr="008F208F">
        <w:t xml:space="preserve">It is </w:t>
      </w:r>
      <w:r w:rsidRPr="008F208F">
        <w:rPr>
          <w:lang w:val="en-GB"/>
        </w:rPr>
        <w:t>preferred</w:t>
      </w:r>
      <w:r w:rsidRPr="008F208F">
        <w:t xml:space="preserve"> that in such an overlap, the UE would prioritize the measurement gap. Following the completion of the measurement gap, the UE would then revert to following the </w:t>
      </w:r>
      <w:r w:rsidRPr="008F208F">
        <w:rPr>
          <w:lang w:val="en-GB"/>
        </w:rPr>
        <w:t>configured</w:t>
      </w:r>
      <w:r w:rsidRPr="008F208F">
        <w:t xml:space="preserve"> semi-static switching pattern.</w:t>
      </w:r>
      <w:r w:rsidRPr="008F208F">
        <w:rPr>
          <w:lang w:val="en-GB"/>
        </w:rPr>
        <w:t xml:space="preserve"> The switching gap in that case can be cancelled as the UE would have enough time within the measurement gap to tune back to the carrier of </w:t>
      </w:r>
      <w:r w:rsidRPr="008F208F">
        <w:t>semi-static switching pattern.</w:t>
      </w:r>
      <w:r w:rsidRPr="008F208F">
        <w:rPr>
          <w:lang w:val="en-GB"/>
        </w:rPr>
        <w:t xml:space="preserve"> </w:t>
      </w:r>
      <w:r w:rsidRPr="008F208F">
        <w:t xml:space="preserve"> </w:t>
      </w:r>
    </w:p>
    <w:p w14:paraId="2D66D97C" w14:textId="395617F6" w:rsidR="001911FA" w:rsidRPr="008F208F" w:rsidRDefault="001911FA" w:rsidP="00E95BDD">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2A589209" w14:textId="5B0BAA02" w:rsidR="0024391D" w:rsidRPr="008F208F" w:rsidRDefault="001911FA" w:rsidP="001911FA">
      <w:pPr>
        <w:pStyle w:val="Heading1"/>
        <w:jc w:val="both"/>
        <w:rPr>
          <w:rFonts w:eastAsia="Malgun Gothic"/>
          <w:lang w:val="en-US" w:eastAsia="ko-KR"/>
        </w:rPr>
      </w:pPr>
      <w:r w:rsidRPr="008F208F">
        <w:rPr>
          <w:rFonts w:eastAsia="Malgun Gothic"/>
          <w:lang w:val="en-US" w:eastAsia="ko-KR"/>
        </w:rPr>
        <w:lastRenderedPageBreak/>
        <w:t>Co-existence between DRX and the carriers switching pattern</w:t>
      </w:r>
    </w:p>
    <w:p w14:paraId="4D179473" w14:textId="143CC417" w:rsidR="0024391D" w:rsidRPr="008F208F" w:rsidRDefault="0024391D" w:rsidP="0024391D">
      <w:pPr>
        <w:pStyle w:val="NormalWeb"/>
      </w:pPr>
      <w:r w:rsidRPr="008F208F">
        <w:t xml:space="preserve">The co-existence of </w:t>
      </w:r>
      <w:r w:rsidRPr="008F208F">
        <w:rPr>
          <w:lang w:val="en-GB"/>
        </w:rPr>
        <w:t>DRX</w:t>
      </w:r>
      <w:r w:rsidRPr="008F208F">
        <w:t xml:space="preserve"> with a configured semi-static carrier switching pattern </w:t>
      </w:r>
      <w:r w:rsidRPr="008F208F">
        <w:rPr>
          <w:lang w:val="en-GB"/>
        </w:rPr>
        <w:t>needs</w:t>
      </w:r>
      <w:r w:rsidRPr="008F208F">
        <w:t xml:space="preserve"> </w:t>
      </w:r>
      <w:r w:rsidRPr="008F208F">
        <w:rPr>
          <w:lang w:val="en-GB"/>
        </w:rPr>
        <w:t xml:space="preserve">further </w:t>
      </w:r>
      <w:r w:rsidR="001A15E6" w:rsidRPr="008F208F">
        <w:rPr>
          <w:lang w:val="en-GB"/>
        </w:rPr>
        <w:t>clarification</w:t>
      </w:r>
      <w:r w:rsidRPr="008F208F">
        <w:t xml:space="preserve">. As a method to ensure alignment with UE power-saving objectives, it is </w:t>
      </w:r>
      <w:r w:rsidRPr="008F208F">
        <w:rPr>
          <w:lang w:val="en-GB"/>
        </w:rPr>
        <w:t>preferred</w:t>
      </w:r>
      <w:r w:rsidRPr="008F208F">
        <w:t xml:space="preserve"> that the semi-static carrier switching pattern </w:t>
      </w:r>
      <w:r w:rsidRPr="008F208F">
        <w:rPr>
          <w:lang w:val="en-GB"/>
        </w:rPr>
        <w:t>is</w:t>
      </w:r>
      <w:r w:rsidRPr="008F208F">
        <w:t xml:space="preserve"> effective only during periods of DRX Active Time. Consequently, time slots falling within DRX Inactive Time </w:t>
      </w:r>
      <w:r w:rsidRPr="008F208F">
        <w:rPr>
          <w:lang w:val="en-GB"/>
        </w:rPr>
        <w:t>are not counted</w:t>
      </w:r>
      <w:r w:rsidRPr="008F208F">
        <w:t xml:space="preserve"> </w:t>
      </w:r>
      <w:r w:rsidRPr="008F208F">
        <w:rPr>
          <w:lang w:val="en-GB"/>
        </w:rPr>
        <w:t>in the</w:t>
      </w:r>
      <w:r w:rsidRPr="008F208F">
        <w:t xml:space="preserve"> switching pattern. As a result, the UE would not be expected to perform carrier switches, as dictated by such a pattern, while it is in DRX Inactive Time.</w:t>
      </w:r>
    </w:p>
    <w:p w14:paraId="55DFB3C5" w14:textId="062D4B19" w:rsidR="0024391D" w:rsidRPr="008F208F" w:rsidRDefault="0024391D" w:rsidP="0024391D">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 xml:space="preserve">When a UE is configured with both DRX and a semi-static carrier switching pattern, the switching pattern shall only be considered during DRX Active Time. </w:t>
      </w:r>
    </w:p>
    <w:p w14:paraId="2B9591A4" w14:textId="7A4CD5E3" w:rsidR="001A15E6" w:rsidRPr="008F208F" w:rsidRDefault="0024391D" w:rsidP="005D6771">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The UE is not expected to do carrier switches during DRX Inactive Time.</w:t>
      </w:r>
    </w:p>
    <w:p w14:paraId="70C5B2FF" w14:textId="42E895CA" w:rsidR="001A15E6" w:rsidRPr="008F208F" w:rsidRDefault="00D17C56" w:rsidP="001A15E6">
      <w:pPr>
        <w:pStyle w:val="NormalWeb"/>
      </w:pPr>
      <w:r w:rsidRPr="008F208F">
        <w:rPr>
          <w:lang w:val="en-GB"/>
        </w:rPr>
        <w:t xml:space="preserve">For a specific scenario, where the switching gap overlaps </w:t>
      </w:r>
      <w:r w:rsidR="001A15E6" w:rsidRPr="008F208F">
        <w:t>with the UE transition</w:t>
      </w:r>
      <w:proofErr w:type="spellStart"/>
      <w:r w:rsidRPr="008F208F">
        <w:rPr>
          <w:lang w:val="en-GB"/>
        </w:rPr>
        <w:t>ing</w:t>
      </w:r>
      <w:proofErr w:type="spellEnd"/>
      <w:r w:rsidR="001A15E6" w:rsidRPr="008F208F">
        <w:t xml:space="preserve"> from DRX Active Time to DRX Inactive Time</w:t>
      </w:r>
      <w:r w:rsidR="001A15E6" w:rsidRPr="008F208F">
        <w:rPr>
          <w:lang w:val="en-GB"/>
        </w:rPr>
        <w:t xml:space="preserve">. This can happen upon the expiry of timers such as drx-OnDurationTimer or drx-InactivityTimer. For such </w:t>
      </w:r>
      <w:r w:rsidRPr="008F208F">
        <w:rPr>
          <w:lang w:val="en-GB"/>
        </w:rPr>
        <w:t>scenario</w:t>
      </w:r>
      <w:r w:rsidR="001A15E6" w:rsidRPr="008F208F">
        <w:rPr>
          <w:lang w:val="en-GB"/>
        </w:rPr>
        <w:t xml:space="preserve">, it is proposed that the UE prioritizes </w:t>
      </w:r>
      <w:r w:rsidRPr="008F208F">
        <w:rPr>
          <w:lang w:val="en-GB"/>
        </w:rPr>
        <w:t>the</w:t>
      </w:r>
      <w:r w:rsidR="001A15E6" w:rsidRPr="008F208F">
        <w:rPr>
          <w:lang w:val="en-GB"/>
        </w:rPr>
        <w:t xml:space="preserve"> DRX configuration</w:t>
      </w:r>
      <w:r w:rsidR="001A15E6" w:rsidRPr="008F208F">
        <w:t xml:space="preserve"> by transitioning to DRX Inactive Time. Consequently, the carrier switch dictated by the pattern would be postponed. Upon the UE re-entry into DRX Active Time, it would then re-evaluate its state within the semi-static switching pattern to determine the appropriate active carrier.</w:t>
      </w:r>
    </w:p>
    <w:p w14:paraId="7AB2773E" w14:textId="77777777" w:rsidR="001A15E6" w:rsidRPr="008F208F" w:rsidRDefault="001A15E6" w:rsidP="001A15E6">
      <w:pPr>
        <w:spacing w:before="100" w:beforeAutospacing="1" w:after="100" w:afterAutospacing="1"/>
        <w:ind w:left="360"/>
        <w:rPr>
          <w:rFonts w:eastAsiaTheme="minorEastAsia"/>
          <w:b/>
          <w:bCs/>
          <w:i/>
          <w:iCs/>
          <w:noProof/>
          <w:lang w:val="en-GB" w:eastAsia="zh-CN"/>
        </w:rPr>
      </w:pPr>
    </w:p>
    <w:p w14:paraId="50AA3959" w14:textId="7A3B6BE3" w:rsidR="001911FA" w:rsidRPr="008F208F" w:rsidRDefault="001A15E6" w:rsidP="001A15E6">
      <w:pPr>
        <w:jc w:val="center"/>
        <w:rPr>
          <w:rFonts w:eastAsia="Times"/>
          <w:lang w:val="en-US"/>
        </w:rPr>
      </w:pPr>
      <w:r w:rsidRPr="008F208F">
        <w:rPr>
          <w:noProof/>
        </w:rPr>
        <w:drawing>
          <wp:inline distT="0" distB="0" distL="0" distR="0" wp14:anchorId="54A6D2E2" wp14:editId="100D4C14">
            <wp:extent cx="3907580" cy="2476500"/>
            <wp:effectExtent l="0" t="0" r="4445" b="0"/>
            <wp:docPr id="1326147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147239" name="Picture 1326147239"/>
                    <pic:cNvPicPr/>
                  </pic:nvPicPr>
                  <pic:blipFill>
                    <a:blip r:embed="rId7"/>
                    <a:stretch>
                      <a:fillRect/>
                    </a:stretch>
                  </pic:blipFill>
                  <pic:spPr>
                    <a:xfrm>
                      <a:off x="0" y="0"/>
                      <a:ext cx="3930379" cy="2490950"/>
                    </a:xfrm>
                    <a:prstGeom prst="rect">
                      <a:avLst/>
                    </a:prstGeom>
                  </pic:spPr>
                </pic:pic>
              </a:graphicData>
            </a:graphic>
          </wp:inline>
        </w:drawing>
      </w:r>
    </w:p>
    <w:p w14:paraId="03661FB2" w14:textId="77777777" w:rsidR="00D17C56" w:rsidRPr="008F208F" w:rsidRDefault="00D17C56" w:rsidP="00D17C56">
      <w:pPr>
        <w:spacing w:before="100" w:beforeAutospacing="1" w:after="100" w:afterAutospacing="1"/>
        <w:rPr>
          <w:rFonts w:eastAsiaTheme="minorEastAsia"/>
          <w:b/>
          <w:bCs/>
          <w:i/>
          <w:iCs/>
          <w:noProof/>
          <w:lang w:val="en-GB" w:eastAsia="zh-CN"/>
        </w:rPr>
      </w:pPr>
    </w:p>
    <w:p w14:paraId="4ABDF8C2" w14:textId="4C842113" w:rsidR="00AA34E1" w:rsidRPr="008F208F" w:rsidRDefault="00D17C56" w:rsidP="008F208F">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 xml:space="preserve">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w:t>
      </w:r>
      <w:r w:rsidRPr="008F208F">
        <w:rPr>
          <w:rFonts w:eastAsiaTheme="minorEastAsia"/>
          <w:b/>
          <w:bCs/>
          <w:i/>
          <w:iCs/>
          <w:noProof/>
          <w:lang w:val="en-GB" w:eastAsia="zh-CN"/>
        </w:rPr>
        <w:lastRenderedPageBreak/>
        <w:t xml:space="preserve">determine the appropriate carrier based on the state of the semi-static switching pattern upon </w:t>
      </w:r>
      <w:r w:rsidR="005D6771" w:rsidRPr="008F208F">
        <w:rPr>
          <w:rFonts w:eastAsiaTheme="minorEastAsia"/>
          <w:b/>
          <w:bCs/>
          <w:i/>
          <w:iCs/>
          <w:noProof/>
          <w:lang w:val="en-GB" w:eastAsia="zh-CN"/>
        </w:rPr>
        <w:t>starting</w:t>
      </w:r>
      <w:r w:rsidRPr="008F208F">
        <w:rPr>
          <w:rFonts w:eastAsiaTheme="minorEastAsia"/>
          <w:b/>
          <w:bCs/>
          <w:i/>
          <w:iCs/>
          <w:noProof/>
          <w:lang w:val="en-GB" w:eastAsia="zh-CN"/>
        </w:rPr>
        <w:t xml:space="preserve"> the next DRX Active Time.</w:t>
      </w:r>
    </w:p>
    <w:p w14:paraId="2BF14E33" w14:textId="77777777" w:rsidR="00AA34E1" w:rsidRPr="008F208F" w:rsidRDefault="00AA34E1" w:rsidP="000008EE">
      <w:pPr>
        <w:spacing w:before="100" w:beforeAutospacing="1" w:after="100" w:afterAutospacing="1"/>
        <w:ind w:left="360"/>
        <w:rPr>
          <w:rFonts w:eastAsiaTheme="minorEastAsia"/>
          <w:b/>
          <w:bCs/>
          <w:i/>
          <w:iCs/>
          <w:noProof/>
          <w:lang w:val="en-GB" w:eastAsia="zh-CN"/>
        </w:rPr>
      </w:pPr>
    </w:p>
    <w:p w14:paraId="506BC050" w14:textId="110E7572" w:rsidR="000008EE" w:rsidRPr="008F208F" w:rsidRDefault="000008EE" w:rsidP="000008EE">
      <w:pPr>
        <w:pStyle w:val="Heading1"/>
        <w:jc w:val="both"/>
        <w:rPr>
          <w:rFonts w:eastAsia="Malgun Gothic"/>
          <w:lang w:val="en-US" w:eastAsia="ko-KR"/>
        </w:rPr>
      </w:pPr>
      <w:r w:rsidRPr="008F208F">
        <w:rPr>
          <w:rFonts w:eastAsia="Malgun Gothic"/>
          <w:lang w:val="en-US" w:eastAsia="ko-KR"/>
        </w:rPr>
        <w:t xml:space="preserve">  UE Processing Timeline relaxation </w:t>
      </w:r>
    </w:p>
    <w:p w14:paraId="0B8F735C" w14:textId="6351C6BA" w:rsidR="00AA34E1" w:rsidRPr="008F208F" w:rsidRDefault="000008EE" w:rsidP="000008EE">
      <w:pPr>
        <w:spacing w:before="100" w:beforeAutospacing="1" w:after="100" w:afterAutospacing="1"/>
        <w:rPr>
          <w:lang w:val="en-GB"/>
        </w:rPr>
      </w:pPr>
      <w:r w:rsidRPr="008F208F">
        <w:t xml:space="preserve">The </w:t>
      </w:r>
      <w:r w:rsidR="00EB3A99" w:rsidRPr="008F208F">
        <w:rPr>
          <w:lang w:val="en-GB"/>
        </w:rPr>
        <w:t xml:space="preserve">In RAN1#121, the following proposal was made: </w:t>
      </w:r>
    </w:p>
    <w:p w14:paraId="52E81E0E" w14:textId="060B77B8" w:rsidR="00EB3A99" w:rsidRPr="008F208F" w:rsidRDefault="00EB3A99" w:rsidP="00EB3A99">
      <w:pPr>
        <w:rPr>
          <w:b/>
          <w:bCs/>
          <w:lang w:val="en-GB"/>
        </w:rPr>
      </w:pPr>
      <w:r w:rsidRPr="008F208F">
        <w:rPr>
          <w:b/>
          <w:bCs/>
          <w:lang w:val="en-GB"/>
        </w:rPr>
        <w:t xml:space="preserve">Proposal </w:t>
      </w:r>
    </w:p>
    <w:p w14:paraId="2DD5E750" w14:textId="77777777" w:rsidR="00EB3A99" w:rsidRPr="008F208F" w:rsidRDefault="00EB3A99" w:rsidP="00EB3A99">
      <w:pPr>
        <w:pStyle w:val="ListParagraph"/>
        <w:numPr>
          <w:ilvl w:val="0"/>
          <w:numId w:val="129"/>
        </w:numPr>
        <w:spacing w:after="0"/>
        <w:contextualSpacing w:val="0"/>
        <w:rPr>
          <w:rFonts w:ascii="Times New Roman" w:eastAsia="Times New Roman" w:hAnsi="Times New Roman" w:cs="Times New Roman"/>
          <w:lang w:val="en-GB"/>
        </w:rPr>
      </w:pPr>
      <w:r w:rsidRPr="008F208F">
        <w:rPr>
          <w:rFonts w:ascii="Times New Roman" w:eastAsia="Times New Roman" w:hAnsi="Times New Roman" w:cs="Times New Roman"/>
          <w:lang w:val="en-GB"/>
        </w:rPr>
        <w:t xml:space="preserve">For Rel-19 low NR band carrier aggregation via switching, in terms of introducing UE processing timeline relaxation, i.e., </w:t>
      </w:r>
      <m:oMath>
        <m:sSub>
          <m:sSubPr>
            <m:ctrlPr>
              <w:rPr>
                <w:rFonts w:ascii="Cambria Math" w:eastAsia="Times New Roman" w:hAnsi="Cambria Math" w:cs="Times New Roman"/>
                <w:lang w:val="en-GB"/>
              </w:rPr>
            </m:ctrlPr>
          </m:sSubPr>
          <m:e>
            <m:r>
              <w:rPr>
                <w:rFonts w:ascii="Cambria Math" w:eastAsia="Times New Roman" w:hAnsi="Cambria Math" w:cs="Times New Roman"/>
                <w:lang w:val="en-GB"/>
              </w:rPr>
              <m:t>T</m:t>
            </m:r>
          </m:e>
          <m:sub>
            <m:r>
              <w:rPr>
                <w:rFonts w:ascii="Cambria Math" w:eastAsia="Times New Roman" w:hAnsi="Cambria Math" w:cs="Times New Roman"/>
                <w:lang w:val="en-GB"/>
              </w:rPr>
              <m:t>LB</m:t>
            </m:r>
            <m:r>
              <m:rPr>
                <m:sty m:val="p"/>
              </m:rPr>
              <w:rPr>
                <w:rFonts w:ascii="Cambria Math" w:eastAsia="Times New Roman" w:hAnsi="Cambria Math" w:cs="Times New Roman"/>
                <w:lang w:val="en-GB"/>
              </w:rPr>
              <m:t xml:space="preserve">, </m:t>
            </m:r>
            <m:r>
              <w:rPr>
                <w:rFonts w:ascii="Cambria Math" w:eastAsia="Times New Roman" w:hAnsi="Cambria Math" w:cs="Times New Roman"/>
                <w:lang w:val="en-GB"/>
              </w:rPr>
              <m:t>switch</m:t>
            </m:r>
          </m:sub>
        </m:sSub>
      </m:oMath>
      <w:r w:rsidRPr="008F208F">
        <w:rPr>
          <w:rFonts w:ascii="Times New Roman" w:eastAsia="Times New Roman" w:hAnsi="Times New Roman" w:cs="Times New Roman"/>
          <w:lang w:val="en-GB"/>
        </w:rPr>
        <w:t xml:space="preserve">, specify the following case for the UE processing timeline relaxation </w:t>
      </w:r>
    </w:p>
    <w:p w14:paraId="0217B4F1" w14:textId="67FB3051" w:rsidR="00EB3A99" w:rsidRPr="008F208F" w:rsidRDefault="00EB3A99" w:rsidP="00EB3A99">
      <w:pPr>
        <w:pStyle w:val="ListParagraph"/>
        <w:numPr>
          <w:ilvl w:val="1"/>
          <w:numId w:val="127"/>
        </w:numPr>
        <w:spacing w:after="0"/>
        <w:contextualSpacing w:val="0"/>
        <w:rPr>
          <w:rFonts w:ascii="Times New Roman" w:eastAsia="Times New Roman" w:hAnsi="Times New Roman" w:cs="Times New Roman"/>
          <w:lang w:val="en-GB"/>
        </w:rPr>
      </w:pPr>
      <w:r w:rsidRPr="008F208F">
        <w:rPr>
          <w:rFonts w:ascii="Times New Roman" w:eastAsia="Times New Roman" w:hAnsi="Times New Roman" w:cs="Times New Roman"/>
          <w:lang w:val="en-GB"/>
        </w:rPr>
        <w:t>Case 1: PDSCH reception on SDL carrier, and corresponding PUCCH for HARQ-ACK transmission on FDD carrier</w:t>
      </w:r>
    </w:p>
    <w:p w14:paraId="628542F6" w14:textId="77777777" w:rsidR="00EB3A99" w:rsidRPr="008F208F" w:rsidRDefault="00EB3A99" w:rsidP="00EB3A99">
      <w:pPr>
        <w:pStyle w:val="ListParagraph"/>
        <w:numPr>
          <w:ilvl w:val="0"/>
          <w:numId w:val="128"/>
        </w:numPr>
        <w:spacing w:after="0"/>
        <w:contextualSpacing w:val="0"/>
        <w:rPr>
          <w:rFonts w:ascii="Times New Roman" w:eastAsia="Times New Roman" w:hAnsi="Times New Roman" w:cs="Times New Roman"/>
          <w:lang w:val="en-GB"/>
        </w:rPr>
      </w:pPr>
      <w:r w:rsidRPr="008F208F">
        <w:rPr>
          <w:rFonts w:ascii="Times New Roman" w:eastAsia="Times New Roman" w:hAnsi="Times New Roman" w:cs="Times New Roman"/>
          <w:lang w:val="en-GB"/>
        </w:rPr>
        <w:t xml:space="preserve">If UE processing timeline relaxation is introduced, regarding the UE processing timeline relaxation, i.e., </w:t>
      </w:r>
      <m:oMath>
        <m:sSub>
          <m:sSubPr>
            <m:ctrlPr>
              <w:rPr>
                <w:rFonts w:ascii="Cambria Math" w:eastAsia="Times New Roman" w:hAnsi="Cambria Math" w:cs="Times New Roman"/>
                <w:lang w:val="en-GB"/>
              </w:rPr>
            </m:ctrlPr>
          </m:sSubPr>
          <m:e>
            <m:r>
              <w:rPr>
                <w:rFonts w:ascii="Cambria Math" w:eastAsia="Times New Roman" w:hAnsi="Cambria Math" w:cs="Times New Roman"/>
                <w:lang w:val="en-GB"/>
              </w:rPr>
              <m:t>T</m:t>
            </m:r>
          </m:e>
          <m:sub>
            <m:r>
              <w:rPr>
                <w:rFonts w:ascii="Cambria Math" w:eastAsia="Times New Roman" w:hAnsi="Cambria Math" w:cs="Times New Roman"/>
                <w:lang w:val="en-GB"/>
              </w:rPr>
              <m:t>LB</m:t>
            </m:r>
            <m:r>
              <m:rPr>
                <m:sty m:val="p"/>
              </m:rPr>
              <w:rPr>
                <w:rFonts w:ascii="Cambria Math" w:eastAsia="Times New Roman" w:hAnsi="Cambria Math" w:cs="Times New Roman"/>
                <w:lang w:val="en-GB"/>
              </w:rPr>
              <m:t xml:space="preserve">, </m:t>
            </m:r>
            <m:r>
              <w:rPr>
                <w:rFonts w:ascii="Cambria Math" w:eastAsia="Times New Roman" w:hAnsi="Cambria Math" w:cs="Times New Roman"/>
                <w:lang w:val="en-GB"/>
              </w:rPr>
              <m:t>switch</m:t>
            </m:r>
          </m:sub>
        </m:sSub>
      </m:oMath>
      <w:r w:rsidRPr="008F208F">
        <w:rPr>
          <w:rFonts w:ascii="Times New Roman" w:eastAsia="Times New Roman" w:hAnsi="Times New Roman" w:cs="Times New Roman"/>
          <w:lang w:val="en-GB"/>
        </w:rPr>
        <w:t xml:space="preserve">, </w:t>
      </w:r>
    </w:p>
    <w:p w14:paraId="2D66C72A" w14:textId="77777777" w:rsidR="00EB3A99" w:rsidRPr="008F208F" w:rsidRDefault="00EB3A99" w:rsidP="00EB3A99">
      <w:pPr>
        <w:pStyle w:val="ListParagraph"/>
        <w:numPr>
          <w:ilvl w:val="1"/>
          <w:numId w:val="128"/>
        </w:numPr>
        <w:spacing w:after="0"/>
        <w:contextualSpacing w:val="0"/>
        <w:rPr>
          <w:rFonts w:ascii="Times New Roman" w:eastAsia="Times New Roman" w:hAnsi="Times New Roman" w:cs="Times New Roman"/>
          <w:lang w:val="en-GB"/>
        </w:rPr>
      </w:pPr>
      <w:r w:rsidRPr="008F208F">
        <w:rPr>
          <w:rFonts w:ascii="Times New Roman" w:eastAsia="Times New Roman" w:hAnsi="Times New Roman" w:cs="Times New Roman"/>
          <w:lang w:val="en-GB"/>
        </w:rPr>
        <w:t>Option 1: The same as the switching period reported by the UE as defined in RAN4 LS R1-2501702, i.e., among {35us, 140us}</w:t>
      </w:r>
    </w:p>
    <w:p w14:paraId="5AF36109" w14:textId="77777777" w:rsidR="00EB3A99" w:rsidRPr="008F208F" w:rsidRDefault="00EB3A99" w:rsidP="00EB3A99">
      <w:pPr>
        <w:pStyle w:val="ListParagraph"/>
        <w:numPr>
          <w:ilvl w:val="1"/>
          <w:numId w:val="128"/>
        </w:numPr>
        <w:spacing w:after="0"/>
        <w:contextualSpacing w:val="0"/>
        <w:rPr>
          <w:rFonts w:ascii="Times New Roman" w:eastAsia="Times New Roman" w:hAnsi="Times New Roman" w:cs="Times New Roman"/>
          <w:lang w:val="en-GB"/>
        </w:rPr>
      </w:pPr>
      <w:r w:rsidRPr="008F208F">
        <w:rPr>
          <w:rFonts w:ascii="Times New Roman" w:eastAsia="Times New Roman" w:hAnsi="Times New Roman" w:cs="Times New Roman"/>
          <w:lang w:val="en-GB"/>
        </w:rPr>
        <w:t>Option 2: Independently reported by the UE from the switching period</w:t>
      </w:r>
    </w:p>
    <w:p w14:paraId="45DE7AC0" w14:textId="77777777" w:rsidR="00EB3A99" w:rsidRPr="008F208F" w:rsidRDefault="00EB3A99" w:rsidP="00EB3A99">
      <w:pPr>
        <w:pStyle w:val="ListParagraph"/>
        <w:numPr>
          <w:ilvl w:val="0"/>
          <w:numId w:val="128"/>
        </w:numPr>
        <w:spacing w:after="0"/>
        <w:contextualSpacing w:val="0"/>
        <w:rPr>
          <w:rFonts w:ascii="Times New Roman" w:eastAsia="Times New Roman" w:hAnsi="Times New Roman" w:cs="Times New Roman"/>
          <w:lang w:val="en-GB"/>
        </w:rPr>
      </w:pPr>
      <w:r w:rsidRPr="008F208F">
        <w:rPr>
          <w:rFonts w:ascii="Times New Roman" w:eastAsia="Times New Roman" w:hAnsi="Times New Roman" w:cs="Times New Roman"/>
          <w:lang w:val="en-GB"/>
        </w:rPr>
        <w:t xml:space="preserve">If UE processing timeline relaxation is introduced, whether we need the following restriction </w:t>
      </w:r>
    </w:p>
    <w:p w14:paraId="0317E17C" w14:textId="77777777" w:rsidR="00EB3A99" w:rsidRPr="008F208F" w:rsidRDefault="00EB3A99" w:rsidP="00EB3A99">
      <w:pPr>
        <w:pStyle w:val="ListParagraph"/>
        <w:numPr>
          <w:ilvl w:val="1"/>
          <w:numId w:val="128"/>
        </w:numPr>
        <w:spacing w:after="0"/>
        <w:contextualSpacing w:val="0"/>
        <w:rPr>
          <w:rFonts w:ascii="Times New Roman" w:eastAsia="Times New Roman" w:hAnsi="Times New Roman" w:cs="Times New Roman"/>
          <w:lang w:val="en-GB"/>
        </w:rPr>
      </w:pPr>
      <w:r w:rsidRPr="008F208F">
        <w:rPr>
          <w:rFonts w:ascii="Times New Roman" w:eastAsia="Times New Roman" w:hAnsi="Times New Roman" w:cs="Times New Roman"/>
          <w:lang w:val="en-GB"/>
        </w:rPr>
        <w:t xml:space="preserve">UE does not expect to have more than one SDL-&gt;FDD switch or more than one FDD-&gt;SDL switch between the received downlink PDCCH/PDSCH and the corresponding uplink transmission (PUCCH/PUSCH/SRS) or downlink reception (PDSCH/CSI-RS).     </w:t>
      </w:r>
    </w:p>
    <w:p w14:paraId="60630C9F" w14:textId="65F43036" w:rsidR="00EB3A99" w:rsidRPr="008F208F" w:rsidRDefault="00EB3A99" w:rsidP="000008EE">
      <w:pPr>
        <w:spacing w:before="100" w:beforeAutospacing="1" w:after="100" w:afterAutospacing="1"/>
        <w:rPr>
          <w:lang w:val="en-GB"/>
        </w:rPr>
      </w:pPr>
      <w:r w:rsidRPr="008F208F">
        <w:rPr>
          <w:lang w:val="en-GB"/>
        </w:rPr>
        <w:t>The UE needs additional time to perform the switching</w:t>
      </w:r>
      <w:r w:rsidR="00AE08FF" w:rsidRPr="008F208F">
        <w:rPr>
          <w:lang w:val="en-GB"/>
        </w:rPr>
        <w:t>. T</w:t>
      </w:r>
      <w:r w:rsidRPr="008F208F">
        <w:rPr>
          <w:lang w:val="en-GB"/>
        </w:rPr>
        <w:t xml:space="preserve">he relaxation of </w:t>
      </w:r>
      <w:r w:rsidR="009256DA" w:rsidRPr="008F208F">
        <w:rPr>
          <w:lang w:val="en-GB"/>
        </w:rPr>
        <w:t>the UE processing time</w:t>
      </w:r>
      <w:r w:rsidRPr="008F208F">
        <w:rPr>
          <w:lang w:val="en-GB"/>
        </w:rPr>
        <w:t xml:space="preserve"> is necessary for the UE implementation. </w:t>
      </w:r>
      <w:r w:rsidR="009256DA" w:rsidRPr="008F208F">
        <w:rPr>
          <w:lang w:val="en-GB"/>
        </w:rPr>
        <w:t>In case 1, the UE receives PDSCH on the SDL carrier and transmits the associated HARQ-ACK feedback on the FDD carrier after the switching. The timeline specified in legacy is not sufficient to allow the UE to carry the switching and at the same time process the PDSCH and prepare the HARQ-ACK feedback.</w:t>
      </w:r>
    </w:p>
    <w:p w14:paraId="6E4BB643" w14:textId="7F119DC9" w:rsidR="0016171C" w:rsidRPr="008F208F" w:rsidRDefault="0016171C" w:rsidP="00AE08FF">
      <w:pPr>
        <w:rPr>
          <w:lang w:val="en-GB"/>
        </w:rPr>
      </w:pPr>
      <w:r w:rsidRPr="008F208F">
        <w:rPr>
          <w:lang w:val="en-GB"/>
        </w:rPr>
        <w:t>We support the restriction on the number of switching expected.</w:t>
      </w:r>
      <w:r w:rsidR="001D2A05" w:rsidRPr="008F208F">
        <w:rPr>
          <w:lang w:val="en-GB"/>
        </w:rPr>
        <w:t xml:space="preserve"> The</w:t>
      </w:r>
      <w:r w:rsidRPr="008F208F">
        <w:rPr>
          <w:lang w:val="en-GB"/>
        </w:rPr>
        <w:t xml:space="preserve"> </w:t>
      </w:r>
      <w:r w:rsidR="00AE08FF" w:rsidRPr="008F208F">
        <w:rPr>
          <w:lang w:val="en-GB"/>
        </w:rPr>
        <w:t xml:space="preserve">UE </w:t>
      </w:r>
      <w:r w:rsidR="001D2A05" w:rsidRPr="008F208F">
        <w:rPr>
          <w:lang w:val="en-GB"/>
        </w:rPr>
        <w:t>should</w:t>
      </w:r>
      <w:r w:rsidR="00AE08FF" w:rsidRPr="008F208F">
        <w:rPr>
          <w:lang w:val="en-GB"/>
        </w:rPr>
        <w:t xml:space="preserve"> not expect to have more than one </w:t>
      </w:r>
      <w:r w:rsidRPr="008F208F">
        <w:rPr>
          <w:lang w:val="en-GB"/>
        </w:rPr>
        <w:t>switching between the received downlink and the corresponding uplink transmission</w:t>
      </w:r>
      <w:r w:rsidR="001D2A05" w:rsidRPr="008F208F">
        <w:rPr>
          <w:lang w:val="en-GB"/>
        </w:rPr>
        <w:t xml:space="preserve"> </w:t>
      </w:r>
      <w:r w:rsidR="00AA34E1" w:rsidRPr="008F208F">
        <w:rPr>
          <w:lang w:val="en-GB"/>
        </w:rPr>
        <w:t>or downlink reception (e.g., PDCCH scheduling PDSCH, PDSCH and the associated PUCCH carrying HARQ-ACK).</w:t>
      </w:r>
    </w:p>
    <w:p w14:paraId="250BC26B" w14:textId="77777777" w:rsidR="0016171C" w:rsidRPr="008F208F" w:rsidRDefault="0016171C" w:rsidP="00AE08FF"/>
    <w:p w14:paraId="7A10DF04" w14:textId="50DDDE11" w:rsidR="001D2A05" w:rsidRPr="008F208F" w:rsidRDefault="001D2A05" w:rsidP="00893138">
      <w:pPr>
        <w:rPr>
          <w:lang w:val="en-GB"/>
        </w:rPr>
      </w:pPr>
      <w:r w:rsidRPr="008F208F">
        <w:rPr>
          <w:lang w:val="en-GB"/>
        </w:rPr>
        <w:t xml:space="preserve"> </w:t>
      </w:r>
    </w:p>
    <w:p w14:paraId="35E50817" w14:textId="13C392A7" w:rsidR="001D2A05" w:rsidRPr="008F208F" w:rsidRDefault="001D2A05" w:rsidP="001D2A05">
      <w:pPr>
        <w:numPr>
          <w:ilvl w:val="0"/>
          <w:numId w:val="66"/>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 xml:space="preserve"> For Rel-19 low NR band carrier aggregation via switching, in terms of introducing UE processing timeline relaxation, i.e., </w:t>
      </w:r>
      <m:oMath>
        <m:sSub>
          <m:sSubPr>
            <m:ctrlPr>
              <w:rPr>
                <w:rFonts w:ascii="Cambria Math" w:eastAsiaTheme="minorEastAsia" w:hAnsi="Cambria Math"/>
                <w:b/>
                <w:bCs/>
                <w:i/>
                <w:iCs/>
                <w:noProof/>
                <w:lang w:val="en-GB" w:eastAsia="zh-CN"/>
              </w:rPr>
            </m:ctrlPr>
          </m:sSubPr>
          <m:e>
            <m:r>
              <m:rPr>
                <m:sty m:val="bi"/>
              </m:rPr>
              <w:rPr>
                <w:rFonts w:ascii="Cambria Math" w:eastAsiaTheme="minorEastAsia" w:hAnsi="Cambria Math"/>
                <w:noProof/>
                <w:lang w:val="en-GB" w:eastAsia="zh-CN"/>
              </w:rPr>
              <m:t>T</m:t>
            </m:r>
          </m:e>
          <m:sub>
            <m:r>
              <m:rPr>
                <m:sty m:val="bi"/>
              </m:rPr>
              <w:rPr>
                <w:rFonts w:ascii="Cambria Math" w:eastAsiaTheme="minorEastAsia" w:hAnsi="Cambria Math"/>
                <w:noProof/>
                <w:lang w:val="en-GB" w:eastAsia="zh-CN"/>
              </w:rPr>
              <m:t>LB, switch</m:t>
            </m:r>
          </m:sub>
        </m:sSub>
      </m:oMath>
      <w:r w:rsidRPr="008F208F">
        <w:rPr>
          <w:rFonts w:eastAsiaTheme="minorEastAsia"/>
          <w:b/>
          <w:bCs/>
          <w:i/>
          <w:iCs/>
          <w:noProof/>
          <w:lang w:val="en-GB" w:eastAsia="zh-CN"/>
        </w:rPr>
        <w:t>, specify</w:t>
      </w:r>
      <w:r w:rsidR="00893138" w:rsidRPr="008F208F">
        <w:rPr>
          <w:rFonts w:eastAsiaTheme="minorEastAsia"/>
          <w:b/>
          <w:bCs/>
          <w:i/>
          <w:iCs/>
          <w:noProof/>
          <w:lang w:val="en-GB" w:eastAsia="zh-CN"/>
        </w:rPr>
        <w:t xml:space="preserve"> at least </w:t>
      </w:r>
      <w:r w:rsidRPr="008F208F">
        <w:rPr>
          <w:rFonts w:eastAsiaTheme="minorEastAsia"/>
          <w:b/>
          <w:bCs/>
          <w:i/>
          <w:iCs/>
          <w:noProof/>
          <w:lang w:val="en-GB" w:eastAsia="zh-CN"/>
        </w:rPr>
        <w:t xml:space="preserve"> the following case for the UE processing timeline relaxation </w:t>
      </w:r>
    </w:p>
    <w:p w14:paraId="2E742E5A" w14:textId="77777777" w:rsidR="001D2A05" w:rsidRPr="008F208F" w:rsidRDefault="001D2A05" w:rsidP="001D2A05">
      <w:pPr>
        <w:pStyle w:val="ListParagraph"/>
        <w:numPr>
          <w:ilvl w:val="1"/>
          <w:numId w:val="66"/>
        </w:numPr>
        <w:spacing w:after="0"/>
        <w:contextualSpacing w:val="0"/>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lastRenderedPageBreak/>
        <w:t>Case 1: PDSCH reception on SDL carrier, and corresponding PUCCH for HARQ-ACK transmission on FDD carrier</w:t>
      </w:r>
    </w:p>
    <w:p w14:paraId="24E1F460" w14:textId="77777777" w:rsidR="009310B1" w:rsidRPr="008F208F" w:rsidRDefault="009310B1" w:rsidP="009310B1">
      <w:pPr>
        <w:pStyle w:val="ListParagraph"/>
        <w:spacing w:after="0"/>
        <w:contextualSpacing w:val="0"/>
        <w:rPr>
          <w:rFonts w:ascii="Times New Roman" w:eastAsiaTheme="minorEastAsia" w:hAnsi="Times New Roman" w:cs="Times New Roman"/>
          <w:b/>
          <w:bCs/>
          <w:i/>
          <w:iCs/>
          <w:noProof/>
          <w:lang w:val="en-GB" w:eastAsia="zh-CN"/>
        </w:rPr>
      </w:pPr>
    </w:p>
    <w:p w14:paraId="7925B030" w14:textId="5D31C781" w:rsidR="001D2A05" w:rsidRPr="008F208F" w:rsidRDefault="00893138" w:rsidP="008F208F">
      <w:pPr>
        <w:pStyle w:val="ListParagraph"/>
        <w:numPr>
          <w:ilvl w:val="0"/>
          <w:numId w:val="66"/>
        </w:numPr>
        <w:spacing w:after="0"/>
        <w:contextualSpacing w:val="0"/>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UE does not expect to have more than one SDL-&gt;FDD switch or more than one FDD-&gt;SDL switch between the received downlink and the corresponding uplink transmission or downlink reception  </w:t>
      </w:r>
    </w:p>
    <w:p w14:paraId="599AA0D9" w14:textId="77777777" w:rsidR="00E04706" w:rsidRPr="008F208F" w:rsidRDefault="00E04706" w:rsidP="00E04706">
      <w:pPr>
        <w:spacing w:before="100" w:beforeAutospacing="1" w:after="100" w:afterAutospacing="1"/>
        <w:ind w:left="360"/>
        <w:rPr>
          <w:rFonts w:eastAsiaTheme="minorEastAsia"/>
          <w:b/>
          <w:bCs/>
          <w:i/>
          <w:iCs/>
          <w:noProof/>
          <w:lang w:val="en-GB" w:eastAsia="zh-CN"/>
        </w:rPr>
      </w:pPr>
    </w:p>
    <w:p w14:paraId="2B9D3C81" w14:textId="77777777" w:rsidR="00EE036A" w:rsidRPr="008F208F" w:rsidRDefault="00EE036A" w:rsidP="00EE036A">
      <w:pPr>
        <w:pStyle w:val="Heading1"/>
        <w:jc w:val="both"/>
        <w:rPr>
          <w:lang w:val="en-US"/>
        </w:rPr>
      </w:pPr>
      <w:r w:rsidRPr="008F208F">
        <w:rPr>
          <w:lang w:val="en-US" w:eastAsia="zh-TW"/>
        </w:rPr>
        <w:t>Conclusion</w:t>
      </w:r>
    </w:p>
    <w:p w14:paraId="72D0BAA0" w14:textId="69B60BA4" w:rsidR="00300D49" w:rsidRPr="008F208F" w:rsidRDefault="00EE036A" w:rsidP="00DC3777">
      <w:pPr>
        <w:spacing w:after="120"/>
        <w:jc w:val="both"/>
        <w:textAlignment w:val="center"/>
        <w:rPr>
          <w:rFonts w:eastAsiaTheme="minorEastAsia"/>
          <w:b/>
          <w:bCs/>
          <w:i/>
          <w:iCs/>
          <w:noProof/>
          <w:lang w:val="en-GB" w:eastAsia="zh-CN"/>
        </w:rPr>
      </w:pPr>
      <w:r w:rsidRPr="008F208F">
        <w:t xml:space="preserve">In this contribution, we have presented several </w:t>
      </w:r>
      <w:r w:rsidR="0011072C" w:rsidRPr="008F208F">
        <w:t xml:space="preserve">proposals to specify the support </w:t>
      </w:r>
      <w:r w:rsidR="000F66A9" w:rsidRPr="008F208F">
        <w:t xml:space="preserve">of </w:t>
      </w:r>
      <w:r w:rsidR="00DD15A1" w:rsidRPr="008F208F">
        <w:rPr>
          <w:lang w:val="en-GB"/>
        </w:rPr>
        <w:t>low band carrier aggregation</w:t>
      </w:r>
      <w:r w:rsidR="00D05E5C" w:rsidRPr="008F208F">
        <w:rPr>
          <w:lang w:val="en-GB"/>
        </w:rPr>
        <w:t xml:space="preserve">. </w:t>
      </w:r>
      <w:r w:rsidRPr="008F208F">
        <w:t xml:space="preserve">We made the following proposals: </w:t>
      </w:r>
    </w:p>
    <w:p w14:paraId="036C1204" w14:textId="77777777" w:rsidR="00653652" w:rsidRPr="008F208F" w:rsidRDefault="00653652" w:rsidP="00653652">
      <w:pPr>
        <w:rPr>
          <w:b/>
          <w:bCs/>
        </w:rPr>
      </w:pPr>
    </w:p>
    <w:p w14:paraId="63FBE6F6" w14:textId="77777777" w:rsidR="00653652" w:rsidRPr="008F208F" w:rsidRDefault="00653652" w:rsidP="00653652">
      <w:pPr>
        <w:rPr>
          <w:rFonts w:eastAsiaTheme="minorEastAsia"/>
          <w:b/>
          <w:bCs/>
          <w:i/>
          <w:iCs/>
          <w:noProof/>
          <w:lang w:val="en-GB" w:eastAsia="zh-CN"/>
        </w:rPr>
      </w:pPr>
    </w:p>
    <w:p w14:paraId="74AC8857" w14:textId="2A5233D5" w:rsidR="00653652" w:rsidRPr="008F208F" w:rsidRDefault="00653652" w:rsidP="00653652">
      <w:pPr>
        <w:pStyle w:val="ListParagraph"/>
        <w:numPr>
          <w:ilvl w:val="0"/>
          <w:numId w:val="130"/>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For the selection of the values X and Y, a sliding window within any continuous number Y of slots (which could span across the pattern periodicities) should be considered, the number of carrier switches in the continuous window of Y slots should not exceed X.</w:t>
      </w:r>
    </w:p>
    <w:p w14:paraId="439C91F8" w14:textId="1F3E9749" w:rsidR="00653652" w:rsidRPr="008F208F" w:rsidRDefault="00653652" w:rsidP="00653652">
      <w:pPr>
        <w:pStyle w:val="ListParagraph"/>
        <w:numPr>
          <w:ilvl w:val="0"/>
          <w:numId w:val="130"/>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6898A551" w14:textId="77777777" w:rsidR="00653652" w:rsidRPr="008F208F" w:rsidRDefault="00653652" w:rsidP="00653652">
      <w:pPr>
        <w:numPr>
          <w:ilvl w:val="0"/>
          <w:numId w:val="130"/>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430B068B" w14:textId="77777777" w:rsidR="00653652" w:rsidRPr="008F208F" w:rsidRDefault="00653652" w:rsidP="00653652">
      <w:pPr>
        <w:pStyle w:val="NormalWeb"/>
      </w:pPr>
    </w:p>
    <w:p w14:paraId="352BD8D7" w14:textId="64E97690" w:rsidR="00653652" w:rsidRPr="008F208F" w:rsidRDefault="00653652" w:rsidP="00653652">
      <w:pPr>
        <w:numPr>
          <w:ilvl w:val="0"/>
          <w:numId w:val="130"/>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6E2A849F" w14:textId="77777777" w:rsidR="00653652" w:rsidRPr="008F208F" w:rsidRDefault="00653652" w:rsidP="00653652">
      <w:pPr>
        <w:numPr>
          <w:ilvl w:val="0"/>
          <w:numId w:val="130"/>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 xml:space="preserve">When a UE is configured with both DRX and a semi-static carrier switching pattern, the switching pattern shall only be considered during DRX Active Time. </w:t>
      </w:r>
    </w:p>
    <w:p w14:paraId="4D1927B8" w14:textId="179A0DF5" w:rsidR="00653652" w:rsidRPr="008F208F" w:rsidRDefault="00653652" w:rsidP="00653652">
      <w:pPr>
        <w:numPr>
          <w:ilvl w:val="0"/>
          <w:numId w:val="130"/>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The UE is not expected to do carrier switches during DRX Inactive Time.</w:t>
      </w:r>
    </w:p>
    <w:p w14:paraId="2D7CD9D5" w14:textId="72F1EC2D" w:rsidR="00653652" w:rsidRPr="008F208F" w:rsidRDefault="00653652" w:rsidP="00653652">
      <w:pPr>
        <w:numPr>
          <w:ilvl w:val="0"/>
          <w:numId w:val="130"/>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29BD8DC8" w14:textId="77777777" w:rsidR="00653652" w:rsidRPr="008F208F" w:rsidRDefault="00653652" w:rsidP="00653652">
      <w:pPr>
        <w:numPr>
          <w:ilvl w:val="0"/>
          <w:numId w:val="130"/>
        </w:numPr>
        <w:spacing w:before="100" w:beforeAutospacing="1" w:after="100" w:afterAutospacing="1"/>
        <w:rPr>
          <w:rFonts w:eastAsiaTheme="minorEastAsia"/>
          <w:b/>
          <w:bCs/>
          <w:i/>
          <w:iCs/>
          <w:noProof/>
          <w:lang w:val="en-GB" w:eastAsia="zh-CN"/>
        </w:rPr>
      </w:pPr>
      <w:r w:rsidRPr="008F208F">
        <w:rPr>
          <w:rFonts w:eastAsiaTheme="minorEastAsia"/>
          <w:b/>
          <w:bCs/>
          <w:i/>
          <w:iCs/>
          <w:noProof/>
          <w:lang w:val="en-GB" w:eastAsia="zh-CN"/>
        </w:rPr>
        <w:lastRenderedPageBreak/>
        <w:t xml:space="preserve"> For Rel-19 low NR band carrier aggregation via switching, in terms of introducing UE processing timeline relaxation, i.e., </w:t>
      </w:r>
      <m:oMath>
        <m:sSub>
          <m:sSubPr>
            <m:ctrlPr>
              <w:rPr>
                <w:rFonts w:ascii="Cambria Math" w:eastAsiaTheme="minorEastAsia" w:hAnsi="Cambria Math"/>
                <w:b/>
                <w:bCs/>
                <w:i/>
                <w:iCs/>
                <w:noProof/>
                <w:lang w:val="en-GB" w:eastAsia="zh-CN"/>
              </w:rPr>
            </m:ctrlPr>
          </m:sSubPr>
          <m:e>
            <m:r>
              <m:rPr>
                <m:sty m:val="bi"/>
              </m:rPr>
              <w:rPr>
                <w:rFonts w:ascii="Cambria Math" w:eastAsiaTheme="minorEastAsia" w:hAnsi="Cambria Math"/>
                <w:noProof/>
                <w:lang w:val="en-GB" w:eastAsia="zh-CN"/>
              </w:rPr>
              <m:t>T</m:t>
            </m:r>
          </m:e>
          <m:sub>
            <m:r>
              <m:rPr>
                <m:sty m:val="bi"/>
              </m:rPr>
              <w:rPr>
                <w:rFonts w:ascii="Cambria Math" w:eastAsiaTheme="minorEastAsia" w:hAnsi="Cambria Math"/>
                <w:noProof/>
                <w:lang w:val="en-GB" w:eastAsia="zh-CN"/>
              </w:rPr>
              <m:t>LB, switch</m:t>
            </m:r>
          </m:sub>
        </m:sSub>
      </m:oMath>
      <w:r w:rsidRPr="008F208F">
        <w:rPr>
          <w:rFonts w:eastAsiaTheme="minorEastAsia"/>
          <w:b/>
          <w:bCs/>
          <w:i/>
          <w:iCs/>
          <w:noProof/>
          <w:lang w:val="en-GB" w:eastAsia="zh-CN"/>
        </w:rPr>
        <w:t xml:space="preserve">, specify at least  the following case for the UE processing timeline relaxation </w:t>
      </w:r>
    </w:p>
    <w:p w14:paraId="67F4FD7B" w14:textId="77777777" w:rsidR="00653652" w:rsidRPr="008F208F" w:rsidRDefault="00653652" w:rsidP="00653652">
      <w:pPr>
        <w:pStyle w:val="ListParagraph"/>
        <w:numPr>
          <w:ilvl w:val="1"/>
          <w:numId w:val="130"/>
        </w:numPr>
        <w:spacing w:after="0"/>
        <w:contextualSpacing w:val="0"/>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Case 1: PDSCH reception on SDL carrier, and corresponding PUCCH for HARQ-ACK transmission on FDD carrier</w:t>
      </w:r>
    </w:p>
    <w:p w14:paraId="3CAD50FE" w14:textId="77777777" w:rsidR="00653652" w:rsidRPr="008F208F" w:rsidRDefault="00653652" w:rsidP="00653652">
      <w:pPr>
        <w:pStyle w:val="ListParagraph"/>
        <w:spacing w:after="0"/>
        <w:contextualSpacing w:val="0"/>
        <w:rPr>
          <w:rFonts w:ascii="Times New Roman" w:eastAsiaTheme="minorEastAsia" w:hAnsi="Times New Roman" w:cs="Times New Roman"/>
          <w:b/>
          <w:bCs/>
          <w:i/>
          <w:iCs/>
          <w:noProof/>
          <w:lang w:val="en-GB" w:eastAsia="zh-CN"/>
        </w:rPr>
      </w:pPr>
    </w:p>
    <w:p w14:paraId="6008FD08" w14:textId="77777777" w:rsidR="00653652" w:rsidRPr="008F208F" w:rsidRDefault="00653652" w:rsidP="00653652">
      <w:pPr>
        <w:pStyle w:val="ListParagraph"/>
        <w:numPr>
          <w:ilvl w:val="0"/>
          <w:numId w:val="130"/>
        </w:numPr>
        <w:spacing w:after="0"/>
        <w:contextualSpacing w:val="0"/>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UE does not expect to have more than one SDL-&gt;FDD switch or more than one FDD-&gt;SDL switch between the received downlink and the corresponding uplink transmission or downlink reception  </w:t>
      </w:r>
    </w:p>
    <w:p w14:paraId="636F3701" w14:textId="77777777" w:rsidR="00E04706" w:rsidRPr="008F208F" w:rsidRDefault="00E04706" w:rsidP="008F208F">
      <w:pPr>
        <w:spacing w:before="100" w:beforeAutospacing="1" w:after="100" w:afterAutospacing="1"/>
        <w:rPr>
          <w:rFonts w:eastAsiaTheme="minorEastAsia"/>
          <w:b/>
          <w:bCs/>
          <w:i/>
          <w:iCs/>
          <w:noProof/>
          <w:lang w:val="en-GB" w:eastAsia="zh-CN"/>
        </w:rPr>
      </w:pPr>
    </w:p>
    <w:p w14:paraId="40F687A2" w14:textId="77777777" w:rsidR="00EE036A" w:rsidRPr="008F208F" w:rsidRDefault="00EE036A" w:rsidP="00EE036A">
      <w:pPr>
        <w:pStyle w:val="Heading1"/>
        <w:jc w:val="both"/>
        <w:rPr>
          <w:lang w:val="en-US"/>
        </w:rPr>
      </w:pPr>
      <w:r w:rsidRPr="008F208F">
        <w:rPr>
          <w:rFonts w:hint="eastAsia"/>
          <w:lang w:val="en-US" w:eastAsia="zh-TW"/>
        </w:rPr>
        <w:t>References</w:t>
      </w:r>
    </w:p>
    <w:p w14:paraId="5F757F46" w14:textId="77777777" w:rsidR="00803842" w:rsidRPr="008F208F" w:rsidRDefault="00803842" w:rsidP="00803842">
      <w:pPr>
        <w:numPr>
          <w:ilvl w:val="0"/>
          <w:numId w:val="3"/>
        </w:numPr>
        <w:overflowPunct w:val="0"/>
        <w:autoSpaceDE w:val="0"/>
        <w:autoSpaceDN w:val="0"/>
        <w:adjustRightInd w:val="0"/>
        <w:spacing w:before="100" w:beforeAutospacing="1" w:after="120" w:line="276" w:lineRule="auto"/>
        <w:jc w:val="both"/>
        <w:textAlignment w:val="baseline"/>
        <w:rPr>
          <w:lang w:val="en-US" w:eastAsia="zh-CN"/>
        </w:rPr>
      </w:pPr>
      <w:bookmarkStart w:id="3" w:name="_Ref61153333"/>
      <w:bookmarkStart w:id="4" w:name="_Ref196908162"/>
      <w:r w:rsidRPr="008F208F">
        <w:rPr>
          <w:lang w:val="en-US" w:eastAsia="zh-CN"/>
        </w:rPr>
        <w:t>RP</w:t>
      </w:r>
      <w:bookmarkEnd w:id="3"/>
      <w:r w:rsidRPr="008F208F">
        <w:rPr>
          <w:lang w:val="en-US" w:eastAsia="zh-CN"/>
        </w:rPr>
        <w:t>-250247, “Revised WID on Low NR band carrier aggregation via switching”</w:t>
      </w:r>
      <w:bookmarkEnd w:id="4"/>
    </w:p>
    <w:p w14:paraId="6EA2326D" w14:textId="77777777" w:rsidR="00803842" w:rsidRPr="008F208F" w:rsidRDefault="00803842" w:rsidP="00803842">
      <w:pPr>
        <w:pStyle w:val="References"/>
        <w:numPr>
          <w:ilvl w:val="0"/>
          <w:numId w:val="0"/>
        </w:numPr>
        <w:autoSpaceDE w:val="0"/>
        <w:autoSpaceDN w:val="0"/>
        <w:snapToGrid w:val="0"/>
        <w:spacing w:after="60"/>
        <w:ind w:left="360"/>
        <w:jc w:val="both"/>
      </w:pPr>
    </w:p>
    <w:sectPr w:rsidR="00803842" w:rsidRPr="008F20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EA8CB0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5BF19B4"/>
    <w:multiLevelType w:val="multilevel"/>
    <w:tmpl w:val="92A2E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0"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0CA83CB4"/>
    <w:multiLevelType w:val="multilevel"/>
    <w:tmpl w:val="FDB4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601BE5"/>
    <w:multiLevelType w:val="multilevel"/>
    <w:tmpl w:val="ADA06C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8"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B750326"/>
    <w:multiLevelType w:val="hybridMultilevel"/>
    <w:tmpl w:val="D6B699E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3121E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6C6469F"/>
    <w:multiLevelType w:val="multilevel"/>
    <w:tmpl w:val="0528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288D5EF9"/>
    <w:multiLevelType w:val="hybridMultilevel"/>
    <w:tmpl w:val="62F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480871"/>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8"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5"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6"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0"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6"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43654102"/>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1"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4D6C61C9"/>
    <w:multiLevelType w:val="multilevel"/>
    <w:tmpl w:val="4596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2"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4"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9876A1F"/>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1" w15:restartNumberingAfterBreak="0">
    <w:nsid w:val="5E4B3FFC"/>
    <w:multiLevelType w:val="multilevel"/>
    <w:tmpl w:val="D550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5"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1"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3"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0"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4"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7" w15:restartNumberingAfterBreak="0">
    <w:nsid w:val="7CE07421"/>
    <w:multiLevelType w:val="hybridMultilevel"/>
    <w:tmpl w:val="2D128FA8"/>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28"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31"/>
  </w:num>
  <w:num w:numId="2" w16cid:durableId="2100910162">
    <w:abstractNumId w:val="4"/>
  </w:num>
  <w:num w:numId="3" w16cid:durableId="329724433">
    <w:abstractNumId w:val="57"/>
  </w:num>
  <w:num w:numId="4" w16cid:durableId="502550087">
    <w:abstractNumId w:val="107"/>
  </w:num>
  <w:num w:numId="5" w16cid:durableId="1939870257">
    <w:abstractNumId w:val="15"/>
  </w:num>
  <w:num w:numId="6" w16cid:durableId="1579515392">
    <w:abstractNumId w:val="103"/>
  </w:num>
  <w:num w:numId="7" w16cid:durableId="294604523">
    <w:abstractNumId w:val="50"/>
  </w:num>
  <w:num w:numId="8" w16cid:durableId="1812138722">
    <w:abstractNumId w:val="44"/>
  </w:num>
  <w:num w:numId="9" w16cid:durableId="556744752">
    <w:abstractNumId w:val="98"/>
  </w:num>
  <w:num w:numId="10" w16cid:durableId="1096099468">
    <w:abstractNumId w:val="90"/>
  </w:num>
  <w:num w:numId="11" w16cid:durableId="953370088">
    <w:abstractNumId w:val="21"/>
  </w:num>
  <w:num w:numId="12" w16cid:durableId="1572157965">
    <w:abstractNumId w:val="8"/>
  </w:num>
  <w:num w:numId="13" w16cid:durableId="421487754">
    <w:abstractNumId w:val="95"/>
  </w:num>
  <w:num w:numId="14" w16cid:durableId="1818716288">
    <w:abstractNumId w:val="74"/>
  </w:num>
  <w:num w:numId="15" w16cid:durableId="1565334203">
    <w:abstractNumId w:val="85"/>
  </w:num>
  <w:num w:numId="16" w16cid:durableId="830872576">
    <w:abstractNumId w:val="125"/>
  </w:num>
  <w:num w:numId="17" w16cid:durableId="706443122">
    <w:abstractNumId w:val="17"/>
  </w:num>
  <w:num w:numId="18" w16cid:durableId="2075927906">
    <w:abstractNumId w:val="96"/>
  </w:num>
  <w:num w:numId="19" w16cid:durableId="440996695">
    <w:abstractNumId w:val="109"/>
  </w:num>
  <w:num w:numId="20" w16cid:durableId="1254819265">
    <w:abstractNumId w:val="72"/>
  </w:num>
  <w:num w:numId="21" w16cid:durableId="2075859761">
    <w:abstractNumId w:val="77"/>
  </w:num>
  <w:num w:numId="22" w16cid:durableId="215820528">
    <w:abstractNumId w:val="53"/>
  </w:num>
  <w:num w:numId="23" w16cid:durableId="885918103">
    <w:abstractNumId w:val="10"/>
  </w:num>
  <w:num w:numId="24" w16cid:durableId="1583372826">
    <w:abstractNumId w:val="19"/>
  </w:num>
  <w:num w:numId="25" w16cid:durableId="39477220">
    <w:abstractNumId w:val="113"/>
  </w:num>
  <w:num w:numId="26" w16cid:durableId="1719668145">
    <w:abstractNumId w:val="110"/>
  </w:num>
  <w:num w:numId="27" w16cid:durableId="692457513">
    <w:abstractNumId w:val="82"/>
  </w:num>
  <w:num w:numId="28" w16cid:durableId="2142647401">
    <w:abstractNumId w:val="106"/>
  </w:num>
  <w:num w:numId="29" w16cid:durableId="1685597283">
    <w:abstractNumId w:val="69"/>
  </w:num>
  <w:num w:numId="30" w16cid:durableId="1043096829">
    <w:abstractNumId w:val="118"/>
  </w:num>
  <w:num w:numId="31" w16cid:durableId="498428937">
    <w:abstractNumId w:val="100"/>
  </w:num>
  <w:num w:numId="32" w16cid:durableId="1949966076">
    <w:abstractNumId w:val="92"/>
  </w:num>
  <w:num w:numId="33" w16cid:durableId="157380159">
    <w:abstractNumId w:val="46"/>
  </w:num>
  <w:num w:numId="34" w16cid:durableId="1396123687">
    <w:abstractNumId w:val="99"/>
  </w:num>
  <w:num w:numId="35" w16cid:durableId="1403986591">
    <w:abstractNumId w:val="123"/>
  </w:num>
  <w:num w:numId="36" w16cid:durableId="728842719">
    <w:abstractNumId w:val="47"/>
  </w:num>
  <w:num w:numId="37" w16cid:durableId="1652518254">
    <w:abstractNumId w:val="23"/>
  </w:num>
  <w:num w:numId="38" w16cid:durableId="1854803906">
    <w:abstractNumId w:val="59"/>
  </w:num>
  <w:num w:numId="39" w16cid:durableId="490870540">
    <w:abstractNumId w:val="43"/>
  </w:num>
  <w:num w:numId="40" w16cid:durableId="599989674">
    <w:abstractNumId w:val="12"/>
  </w:num>
  <w:num w:numId="41" w16cid:durableId="962686721">
    <w:abstractNumId w:val="87"/>
  </w:num>
  <w:num w:numId="42" w16cid:durableId="307511613">
    <w:abstractNumId w:val="122"/>
  </w:num>
  <w:num w:numId="43" w16cid:durableId="322123341">
    <w:abstractNumId w:val="52"/>
  </w:num>
  <w:num w:numId="44" w16cid:durableId="1890798390">
    <w:abstractNumId w:val="126"/>
  </w:num>
  <w:num w:numId="45" w16cid:durableId="2118131690">
    <w:abstractNumId w:val="121"/>
  </w:num>
  <w:num w:numId="46" w16cid:durableId="1345277809">
    <w:abstractNumId w:val="66"/>
  </w:num>
  <w:num w:numId="47" w16cid:durableId="773406897">
    <w:abstractNumId w:val="102"/>
  </w:num>
  <w:num w:numId="48" w16cid:durableId="595023420">
    <w:abstractNumId w:val="91"/>
  </w:num>
  <w:num w:numId="49" w16cid:durableId="2079598080">
    <w:abstractNumId w:val="108"/>
  </w:num>
  <w:num w:numId="50" w16cid:durableId="415906667">
    <w:abstractNumId w:val="56"/>
  </w:num>
  <w:num w:numId="51" w16cid:durableId="1214580962">
    <w:abstractNumId w:val="114"/>
  </w:num>
  <w:num w:numId="52" w16cid:durableId="1342390268">
    <w:abstractNumId w:val="112"/>
  </w:num>
  <w:num w:numId="53" w16cid:durableId="1815636564">
    <w:abstractNumId w:val="67"/>
  </w:num>
  <w:num w:numId="54" w16cid:durableId="1933313435">
    <w:abstractNumId w:val="7"/>
  </w:num>
  <w:num w:numId="55" w16cid:durableId="528227147">
    <w:abstractNumId w:val="28"/>
  </w:num>
  <w:num w:numId="56" w16cid:durableId="545069915">
    <w:abstractNumId w:val="39"/>
  </w:num>
  <w:num w:numId="57" w16cid:durableId="885990808">
    <w:abstractNumId w:val="54"/>
  </w:num>
  <w:num w:numId="58" w16cid:durableId="1016925072">
    <w:abstractNumId w:val="76"/>
  </w:num>
  <w:num w:numId="59" w16cid:durableId="627859321">
    <w:abstractNumId w:val="11"/>
  </w:num>
  <w:num w:numId="60" w16cid:durableId="926881786">
    <w:abstractNumId w:val="64"/>
  </w:num>
  <w:num w:numId="61" w16cid:durableId="1724330635">
    <w:abstractNumId w:val="22"/>
  </w:num>
  <w:num w:numId="62" w16cid:durableId="693773030">
    <w:abstractNumId w:val="124"/>
  </w:num>
  <w:num w:numId="63" w16cid:durableId="39091479">
    <w:abstractNumId w:val="0"/>
  </w:num>
  <w:num w:numId="64" w16cid:durableId="120325226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68"/>
  </w:num>
  <w:num w:numId="67" w16cid:durableId="142894702">
    <w:abstractNumId w:val="117"/>
  </w:num>
  <w:num w:numId="68" w16cid:durableId="1625191128">
    <w:abstractNumId w:val="58"/>
  </w:num>
  <w:num w:numId="69" w16cid:durableId="337658714">
    <w:abstractNumId w:val="78"/>
  </w:num>
  <w:num w:numId="70" w16cid:durableId="584850547">
    <w:abstractNumId w:val="115"/>
  </w:num>
  <w:num w:numId="71" w16cid:durableId="1630626996">
    <w:abstractNumId w:val="94"/>
  </w:num>
  <w:num w:numId="72" w16cid:durableId="1806577308">
    <w:abstractNumId w:val="88"/>
  </w:num>
  <w:num w:numId="73" w16cid:durableId="1459832851">
    <w:abstractNumId w:val="86"/>
  </w:num>
  <w:num w:numId="74" w16cid:durableId="2038434122">
    <w:abstractNumId w:val="128"/>
  </w:num>
  <w:num w:numId="75" w16cid:durableId="148522607">
    <w:abstractNumId w:val="60"/>
  </w:num>
  <w:num w:numId="76" w16cid:durableId="1927839054">
    <w:abstractNumId w:val="32"/>
  </w:num>
  <w:num w:numId="77" w16cid:durableId="366881415">
    <w:abstractNumId w:val="37"/>
  </w:num>
  <w:num w:numId="78" w16cid:durableId="898174974">
    <w:abstractNumId w:val="25"/>
  </w:num>
  <w:num w:numId="79" w16cid:durableId="703557573">
    <w:abstractNumId w:val="79"/>
  </w:num>
  <w:num w:numId="80" w16cid:durableId="1962151705">
    <w:abstractNumId w:val="116"/>
  </w:num>
  <w:num w:numId="81" w16cid:durableId="1619482691">
    <w:abstractNumId w:val="48"/>
  </w:num>
  <w:num w:numId="82" w16cid:durableId="1738358644">
    <w:abstractNumId w:val="73"/>
  </w:num>
  <w:num w:numId="83" w16cid:durableId="1402368639">
    <w:abstractNumId w:val="38"/>
  </w:num>
  <w:num w:numId="84" w16cid:durableId="104426519">
    <w:abstractNumId w:val="3"/>
  </w:num>
  <w:num w:numId="85" w16cid:durableId="1277787952">
    <w:abstractNumId w:val="29"/>
  </w:num>
  <w:num w:numId="86" w16cid:durableId="1572152929">
    <w:abstractNumId w:val="5"/>
  </w:num>
  <w:num w:numId="87" w16cid:durableId="362749171">
    <w:abstractNumId w:val="105"/>
  </w:num>
  <w:num w:numId="88" w16cid:durableId="545486371">
    <w:abstractNumId w:val="20"/>
  </w:num>
  <w:num w:numId="89" w16cid:durableId="2058505051">
    <w:abstractNumId w:val="63"/>
  </w:num>
  <w:num w:numId="90" w16cid:durableId="895236134">
    <w:abstractNumId w:val="120"/>
  </w:num>
  <w:num w:numId="91" w16cid:durableId="935334197">
    <w:abstractNumId w:val="71"/>
  </w:num>
  <w:num w:numId="92" w16cid:durableId="71316081">
    <w:abstractNumId w:val="40"/>
  </w:num>
  <w:num w:numId="93" w16cid:durableId="240260555">
    <w:abstractNumId w:val="104"/>
  </w:num>
  <w:num w:numId="94" w16cid:durableId="2026905828">
    <w:abstractNumId w:val="80"/>
  </w:num>
  <w:num w:numId="95" w16cid:durableId="1702583604">
    <w:abstractNumId w:val="51"/>
  </w:num>
  <w:num w:numId="96" w16cid:durableId="1800494854">
    <w:abstractNumId w:val="55"/>
  </w:num>
  <w:num w:numId="97" w16cid:durableId="317344534">
    <w:abstractNumId w:val="65"/>
  </w:num>
  <w:num w:numId="98" w16cid:durableId="566689927">
    <w:abstractNumId w:val="111"/>
  </w:num>
  <w:num w:numId="99" w16cid:durableId="2017228608">
    <w:abstractNumId w:val="33"/>
  </w:num>
  <w:num w:numId="100" w16cid:durableId="299961116">
    <w:abstractNumId w:val="119"/>
  </w:num>
  <w:num w:numId="101" w16cid:durableId="740445805">
    <w:abstractNumId w:val="93"/>
  </w:num>
  <w:num w:numId="102" w16cid:durableId="1693458505">
    <w:abstractNumId w:val="61"/>
  </w:num>
  <w:num w:numId="103" w16cid:durableId="1820657023">
    <w:abstractNumId w:val="31"/>
  </w:num>
  <w:num w:numId="104" w16cid:durableId="55519091">
    <w:abstractNumId w:val="18"/>
  </w:num>
  <w:num w:numId="105" w16cid:durableId="1303463392">
    <w:abstractNumId w:val="35"/>
  </w:num>
  <w:num w:numId="106" w16cid:durableId="77215139">
    <w:abstractNumId w:val="75"/>
  </w:num>
  <w:num w:numId="107" w16cid:durableId="1577127194">
    <w:abstractNumId w:val="83"/>
  </w:num>
  <w:num w:numId="108" w16cid:durableId="1334914654">
    <w:abstractNumId w:val="26"/>
  </w:num>
  <w:num w:numId="109" w16cid:durableId="77556563">
    <w:abstractNumId w:val="81"/>
  </w:num>
  <w:num w:numId="110" w16cid:durableId="278142983">
    <w:abstractNumId w:val="24"/>
  </w:num>
  <w:num w:numId="111" w16cid:durableId="1738744935">
    <w:abstractNumId w:val="62"/>
  </w:num>
  <w:num w:numId="112" w16cid:durableId="1627083094">
    <w:abstractNumId w:val="2"/>
  </w:num>
  <w:num w:numId="113" w16cid:durableId="409037868">
    <w:abstractNumId w:val="16"/>
  </w:num>
  <w:num w:numId="114" w16cid:durableId="1962104178">
    <w:abstractNumId w:val="97"/>
  </w:num>
  <w:num w:numId="115" w16cid:durableId="2132432890">
    <w:abstractNumId w:val="9"/>
  </w:num>
  <w:num w:numId="116" w16cid:durableId="1488548895">
    <w:abstractNumId w:val="127"/>
  </w:num>
  <w:num w:numId="117" w16cid:durableId="1749158742">
    <w:abstractNumId w:val="49"/>
  </w:num>
  <w:num w:numId="118" w16cid:durableId="165554102">
    <w:abstractNumId w:val="27"/>
  </w:num>
  <w:num w:numId="119" w16cid:durableId="1696730737">
    <w:abstractNumId w:val="36"/>
  </w:num>
  <w:num w:numId="120" w16cid:durableId="1479228923">
    <w:abstractNumId w:val="6"/>
  </w:num>
  <w:num w:numId="121" w16cid:durableId="219828907">
    <w:abstractNumId w:val="14"/>
  </w:num>
  <w:num w:numId="122" w16cid:durableId="1588267674">
    <w:abstractNumId w:val="101"/>
  </w:num>
  <w:num w:numId="123" w16cid:durableId="1841655931">
    <w:abstractNumId w:val="13"/>
  </w:num>
  <w:num w:numId="124" w16cid:durableId="558396003">
    <w:abstractNumId w:val="84"/>
  </w:num>
  <w:num w:numId="125" w16cid:durableId="2053114474">
    <w:abstractNumId w:val="34"/>
  </w:num>
  <w:num w:numId="126" w16cid:durableId="1969046984">
    <w:abstractNumId w:val="30"/>
  </w:num>
  <w:num w:numId="127" w16cid:durableId="499124085">
    <w:abstractNumId w:val="45"/>
  </w:num>
  <w:num w:numId="128" w16cid:durableId="1521554142">
    <w:abstractNumId w:val="41"/>
  </w:num>
  <w:num w:numId="129" w16cid:durableId="1812988631">
    <w:abstractNumId w:val="42"/>
  </w:num>
  <w:num w:numId="130" w16cid:durableId="692998959">
    <w:abstractNumId w:val="7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08EE"/>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620FC"/>
    <w:rsid w:val="00062ADD"/>
    <w:rsid w:val="0006636F"/>
    <w:rsid w:val="000668B8"/>
    <w:rsid w:val="0006752F"/>
    <w:rsid w:val="00072080"/>
    <w:rsid w:val="00074C87"/>
    <w:rsid w:val="00075F9E"/>
    <w:rsid w:val="0008065C"/>
    <w:rsid w:val="0008168A"/>
    <w:rsid w:val="00081D14"/>
    <w:rsid w:val="00084243"/>
    <w:rsid w:val="000912D9"/>
    <w:rsid w:val="00092B4B"/>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403F"/>
    <w:rsid w:val="00136085"/>
    <w:rsid w:val="00137338"/>
    <w:rsid w:val="001374F8"/>
    <w:rsid w:val="00140F65"/>
    <w:rsid w:val="001457BB"/>
    <w:rsid w:val="0014619C"/>
    <w:rsid w:val="00154337"/>
    <w:rsid w:val="0016171C"/>
    <w:rsid w:val="00165976"/>
    <w:rsid w:val="00165EB4"/>
    <w:rsid w:val="00170834"/>
    <w:rsid w:val="00175C70"/>
    <w:rsid w:val="00180900"/>
    <w:rsid w:val="00184246"/>
    <w:rsid w:val="00185856"/>
    <w:rsid w:val="001862B5"/>
    <w:rsid w:val="001870EE"/>
    <w:rsid w:val="00190600"/>
    <w:rsid w:val="001907D3"/>
    <w:rsid w:val="001911FA"/>
    <w:rsid w:val="001921EC"/>
    <w:rsid w:val="00197D2F"/>
    <w:rsid w:val="001A06BF"/>
    <w:rsid w:val="001A15E6"/>
    <w:rsid w:val="001A45ED"/>
    <w:rsid w:val="001A7652"/>
    <w:rsid w:val="001B328E"/>
    <w:rsid w:val="001B52C2"/>
    <w:rsid w:val="001C170D"/>
    <w:rsid w:val="001C195A"/>
    <w:rsid w:val="001D2A05"/>
    <w:rsid w:val="001D6E80"/>
    <w:rsid w:val="001D75F7"/>
    <w:rsid w:val="001E0633"/>
    <w:rsid w:val="001E5C14"/>
    <w:rsid w:val="001F2DE8"/>
    <w:rsid w:val="001F4189"/>
    <w:rsid w:val="001F6472"/>
    <w:rsid w:val="0020190D"/>
    <w:rsid w:val="00202AE0"/>
    <w:rsid w:val="00204726"/>
    <w:rsid w:val="002073C5"/>
    <w:rsid w:val="00210996"/>
    <w:rsid w:val="002165DE"/>
    <w:rsid w:val="00217E66"/>
    <w:rsid w:val="002204DF"/>
    <w:rsid w:val="0022147F"/>
    <w:rsid w:val="0022466A"/>
    <w:rsid w:val="002317D0"/>
    <w:rsid w:val="002319E1"/>
    <w:rsid w:val="00232DE0"/>
    <w:rsid w:val="00236EF0"/>
    <w:rsid w:val="00242F20"/>
    <w:rsid w:val="0024391D"/>
    <w:rsid w:val="00243B9A"/>
    <w:rsid w:val="00247B24"/>
    <w:rsid w:val="00251BD1"/>
    <w:rsid w:val="00252F52"/>
    <w:rsid w:val="00262A11"/>
    <w:rsid w:val="00263B6B"/>
    <w:rsid w:val="002659D7"/>
    <w:rsid w:val="00266169"/>
    <w:rsid w:val="00270AF4"/>
    <w:rsid w:val="00270C8B"/>
    <w:rsid w:val="0027190E"/>
    <w:rsid w:val="002738C8"/>
    <w:rsid w:val="00275ECE"/>
    <w:rsid w:val="002878C2"/>
    <w:rsid w:val="002A1594"/>
    <w:rsid w:val="002A5AFD"/>
    <w:rsid w:val="002A6F53"/>
    <w:rsid w:val="002A7B53"/>
    <w:rsid w:val="002B5160"/>
    <w:rsid w:val="002B633E"/>
    <w:rsid w:val="002B7588"/>
    <w:rsid w:val="002C27F9"/>
    <w:rsid w:val="002C31F2"/>
    <w:rsid w:val="002C3747"/>
    <w:rsid w:val="002C4A67"/>
    <w:rsid w:val="002C6C46"/>
    <w:rsid w:val="002C7BA6"/>
    <w:rsid w:val="002D0F9F"/>
    <w:rsid w:val="002D2933"/>
    <w:rsid w:val="002D3AF6"/>
    <w:rsid w:val="002E0638"/>
    <w:rsid w:val="002E40D5"/>
    <w:rsid w:val="002F6706"/>
    <w:rsid w:val="002F7D76"/>
    <w:rsid w:val="00300658"/>
    <w:rsid w:val="00300981"/>
    <w:rsid w:val="00300D49"/>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32E9"/>
    <w:rsid w:val="004D3647"/>
    <w:rsid w:val="004D56D7"/>
    <w:rsid w:val="004D7162"/>
    <w:rsid w:val="004E4AFF"/>
    <w:rsid w:val="004F2A1E"/>
    <w:rsid w:val="004F36E2"/>
    <w:rsid w:val="005002C4"/>
    <w:rsid w:val="0050401D"/>
    <w:rsid w:val="0051403B"/>
    <w:rsid w:val="00514622"/>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A08B3"/>
    <w:rsid w:val="005A16B0"/>
    <w:rsid w:val="005A3B77"/>
    <w:rsid w:val="005B4193"/>
    <w:rsid w:val="005B4D2F"/>
    <w:rsid w:val="005C05C7"/>
    <w:rsid w:val="005C1511"/>
    <w:rsid w:val="005C4548"/>
    <w:rsid w:val="005D3BF3"/>
    <w:rsid w:val="005D4AC0"/>
    <w:rsid w:val="005D6771"/>
    <w:rsid w:val="005E05C5"/>
    <w:rsid w:val="005E39AF"/>
    <w:rsid w:val="005E575C"/>
    <w:rsid w:val="005F1807"/>
    <w:rsid w:val="005F2396"/>
    <w:rsid w:val="005F58CF"/>
    <w:rsid w:val="005F6885"/>
    <w:rsid w:val="00602D4C"/>
    <w:rsid w:val="00604CD0"/>
    <w:rsid w:val="00605190"/>
    <w:rsid w:val="0060722E"/>
    <w:rsid w:val="0061052C"/>
    <w:rsid w:val="006157F1"/>
    <w:rsid w:val="00620A98"/>
    <w:rsid w:val="006266FD"/>
    <w:rsid w:val="006277EE"/>
    <w:rsid w:val="00631972"/>
    <w:rsid w:val="006353C9"/>
    <w:rsid w:val="006363B9"/>
    <w:rsid w:val="0063786D"/>
    <w:rsid w:val="00641680"/>
    <w:rsid w:val="00643CF3"/>
    <w:rsid w:val="00645C4D"/>
    <w:rsid w:val="0064674E"/>
    <w:rsid w:val="00646ED1"/>
    <w:rsid w:val="00650EB7"/>
    <w:rsid w:val="0065223C"/>
    <w:rsid w:val="0065312E"/>
    <w:rsid w:val="00653652"/>
    <w:rsid w:val="00653A17"/>
    <w:rsid w:val="00655A8E"/>
    <w:rsid w:val="006560A6"/>
    <w:rsid w:val="00656DC8"/>
    <w:rsid w:val="006606D7"/>
    <w:rsid w:val="0066313B"/>
    <w:rsid w:val="00663DB2"/>
    <w:rsid w:val="00665788"/>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E43F5"/>
    <w:rsid w:val="006F0416"/>
    <w:rsid w:val="006F19B6"/>
    <w:rsid w:val="006F44FF"/>
    <w:rsid w:val="006F738E"/>
    <w:rsid w:val="0070240C"/>
    <w:rsid w:val="007037F5"/>
    <w:rsid w:val="0071124C"/>
    <w:rsid w:val="00721219"/>
    <w:rsid w:val="0072420E"/>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14F0"/>
    <w:rsid w:val="007A2193"/>
    <w:rsid w:val="007A6E58"/>
    <w:rsid w:val="007A7DAA"/>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03842"/>
    <w:rsid w:val="008109E8"/>
    <w:rsid w:val="008153A1"/>
    <w:rsid w:val="008155D6"/>
    <w:rsid w:val="008159A2"/>
    <w:rsid w:val="00815A34"/>
    <w:rsid w:val="00820B6A"/>
    <w:rsid w:val="0082106D"/>
    <w:rsid w:val="00835449"/>
    <w:rsid w:val="00840FE0"/>
    <w:rsid w:val="008503DC"/>
    <w:rsid w:val="00851372"/>
    <w:rsid w:val="00854293"/>
    <w:rsid w:val="0086200C"/>
    <w:rsid w:val="008653A8"/>
    <w:rsid w:val="0087052F"/>
    <w:rsid w:val="00881D10"/>
    <w:rsid w:val="00881FD4"/>
    <w:rsid w:val="0088281E"/>
    <w:rsid w:val="00882994"/>
    <w:rsid w:val="00884276"/>
    <w:rsid w:val="00884801"/>
    <w:rsid w:val="00887EEB"/>
    <w:rsid w:val="008923C7"/>
    <w:rsid w:val="00893138"/>
    <w:rsid w:val="008A0FC3"/>
    <w:rsid w:val="008A405B"/>
    <w:rsid w:val="008B4890"/>
    <w:rsid w:val="008B6A0B"/>
    <w:rsid w:val="008C78CD"/>
    <w:rsid w:val="008D19F5"/>
    <w:rsid w:val="008D4DC0"/>
    <w:rsid w:val="008D5022"/>
    <w:rsid w:val="008D7954"/>
    <w:rsid w:val="008E45A7"/>
    <w:rsid w:val="008E7F6B"/>
    <w:rsid w:val="008F208F"/>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56DA"/>
    <w:rsid w:val="00927293"/>
    <w:rsid w:val="009279F0"/>
    <w:rsid w:val="00927CEE"/>
    <w:rsid w:val="009310B1"/>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34E1"/>
    <w:rsid w:val="00AA6995"/>
    <w:rsid w:val="00AB46E0"/>
    <w:rsid w:val="00AB47CF"/>
    <w:rsid w:val="00AB5983"/>
    <w:rsid w:val="00AC3F0F"/>
    <w:rsid w:val="00AC5BAC"/>
    <w:rsid w:val="00AD21ED"/>
    <w:rsid w:val="00AD3D6A"/>
    <w:rsid w:val="00AD44E7"/>
    <w:rsid w:val="00AD550B"/>
    <w:rsid w:val="00AD6731"/>
    <w:rsid w:val="00AD7FE3"/>
    <w:rsid w:val="00AE08FF"/>
    <w:rsid w:val="00AE1349"/>
    <w:rsid w:val="00AE3D5A"/>
    <w:rsid w:val="00AE493E"/>
    <w:rsid w:val="00AE633A"/>
    <w:rsid w:val="00AF06F4"/>
    <w:rsid w:val="00AF42CA"/>
    <w:rsid w:val="00AF468A"/>
    <w:rsid w:val="00B02DC2"/>
    <w:rsid w:val="00B03439"/>
    <w:rsid w:val="00B07881"/>
    <w:rsid w:val="00B12327"/>
    <w:rsid w:val="00B1303E"/>
    <w:rsid w:val="00B141A5"/>
    <w:rsid w:val="00B1646E"/>
    <w:rsid w:val="00B17629"/>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11D1"/>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17C56"/>
    <w:rsid w:val="00D20083"/>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3777"/>
    <w:rsid w:val="00DC4914"/>
    <w:rsid w:val="00DD15A1"/>
    <w:rsid w:val="00DE3B98"/>
    <w:rsid w:val="00DE4AC7"/>
    <w:rsid w:val="00E02BF9"/>
    <w:rsid w:val="00E04706"/>
    <w:rsid w:val="00E04FE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559E"/>
    <w:rsid w:val="00E86675"/>
    <w:rsid w:val="00E8704D"/>
    <w:rsid w:val="00E93782"/>
    <w:rsid w:val="00E95650"/>
    <w:rsid w:val="00E95A7A"/>
    <w:rsid w:val="00E95BDD"/>
    <w:rsid w:val="00EA3DB4"/>
    <w:rsid w:val="00EA43B4"/>
    <w:rsid w:val="00EA5594"/>
    <w:rsid w:val="00EB34E2"/>
    <w:rsid w:val="00EB3A99"/>
    <w:rsid w:val="00EB60F6"/>
    <w:rsid w:val="00EB798A"/>
    <w:rsid w:val="00EC27D7"/>
    <w:rsid w:val="00ED0609"/>
    <w:rsid w:val="00ED4206"/>
    <w:rsid w:val="00ED53B0"/>
    <w:rsid w:val="00EE036A"/>
    <w:rsid w:val="00EE229B"/>
    <w:rsid w:val="00EF138B"/>
    <w:rsid w:val="00EF51D4"/>
    <w:rsid w:val="00EF5A49"/>
    <w:rsid w:val="00EF7268"/>
    <w:rsid w:val="00EF7CF1"/>
    <w:rsid w:val="00F00554"/>
    <w:rsid w:val="00F02B48"/>
    <w:rsid w:val="00F032AC"/>
    <w:rsid w:val="00F03918"/>
    <w:rsid w:val="00F058D6"/>
    <w:rsid w:val="00F05CDD"/>
    <w:rsid w:val="00F063E7"/>
    <w:rsid w:val="00F07CCE"/>
    <w:rsid w:val="00F1016B"/>
    <w:rsid w:val="00F11222"/>
    <w:rsid w:val="00F11744"/>
    <w:rsid w:val="00F14E49"/>
    <w:rsid w:val="00F21FDB"/>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E6F04"/>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03F"/>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paragraph" w:customStyle="1" w:styleId="0Maintext">
    <w:name w:val="0 Main text"/>
    <w:basedOn w:val="Normal"/>
    <w:link w:val="0MaintextChar"/>
    <w:qFormat/>
    <w:rsid w:val="0080384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803842"/>
    <w:rPr>
      <w:rFonts w:ascii="Times New Roman" w:eastAsia="Times New Roman" w:hAnsi="Times New Roman" w:cs="Batang"/>
      <w:sz w:val="20"/>
      <w:szCs w:val="20"/>
    </w:rPr>
  </w:style>
  <w:style w:type="paragraph" w:customStyle="1" w:styleId="NumberedParagraph">
    <w:name w:val="Numbered Paragraph"/>
    <w:basedOn w:val="Normal"/>
    <w:rsid w:val="00AE633A"/>
    <w:pPr>
      <w:numPr>
        <w:numId w:val="115"/>
      </w:numPr>
      <w:tabs>
        <w:tab w:val="left" w:pos="1080"/>
      </w:tabs>
      <w:spacing w:line="360" w:lineRule="auto"/>
      <w:jc w:val="both"/>
    </w:pPr>
    <w:rPr>
      <w:rFonts w:eastAsia="Times"/>
      <w:szCs w:val="20"/>
      <w:lang w:val="en-US"/>
    </w:rPr>
  </w:style>
  <w:style w:type="paragraph" w:styleId="ListBullet">
    <w:name w:val="List Bullet"/>
    <w:basedOn w:val="Normal"/>
    <w:autoRedefine/>
    <w:rsid w:val="00AE633A"/>
    <w:pPr>
      <w:tabs>
        <w:tab w:val="num" w:pos="360"/>
      </w:tabs>
      <w:ind w:left="360" w:hanging="360"/>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89088892">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4743730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2583630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91946135">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20066126">
      <w:bodyDiv w:val="1"/>
      <w:marLeft w:val="0"/>
      <w:marRight w:val="0"/>
      <w:marTop w:val="0"/>
      <w:marBottom w:val="0"/>
      <w:divBdr>
        <w:top w:val="none" w:sz="0" w:space="0" w:color="auto"/>
        <w:left w:val="none" w:sz="0" w:space="0" w:color="auto"/>
        <w:bottom w:val="none" w:sz="0" w:space="0" w:color="auto"/>
        <w:right w:val="none" w:sz="0" w:space="0" w:color="auto"/>
      </w:divBdr>
    </w:div>
    <w:div w:id="929705672">
      <w:bodyDiv w:val="1"/>
      <w:marLeft w:val="0"/>
      <w:marRight w:val="0"/>
      <w:marTop w:val="0"/>
      <w:marBottom w:val="0"/>
      <w:divBdr>
        <w:top w:val="none" w:sz="0" w:space="0" w:color="auto"/>
        <w:left w:val="none" w:sz="0" w:space="0" w:color="auto"/>
        <w:bottom w:val="none" w:sz="0" w:space="0" w:color="auto"/>
        <w:right w:val="none" w:sz="0" w:space="0" w:color="auto"/>
      </w:divBdr>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64946311">
      <w:bodyDiv w:val="1"/>
      <w:marLeft w:val="0"/>
      <w:marRight w:val="0"/>
      <w:marTop w:val="0"/>
      <w:marBottom w:val="0"/>
      <w:divBdr>
        <w:top w:val="none" w:sz="0" w:space="0" w:color="auto"/>
        <w:left w:val="none" w:sz="0" w:space="0" w:color="auto"/>
        <w:bottom w:val="none" w:sz="0" w:space="0" w:color="auto"/>
        <w:right w:val="none" w:sz="0" w:space="0" w:color="auto"/>
      </w:divBdr>
    </w:div>
    <w:div w:id="1959216969">
      <w:bodyDiv w:val="1"/>
      <w:marLeft w:val="0"/>
      <w:marRight w:val="0"/>
      <w:marTop w:val="0"/>
      <w:marBottom w:val="0"/>
      <w:divBdr>
        <w:top w:val="none" w:sz="0" w:space="0" w:color="auto"/>
        <w:left w:val="none" w:sz="0" w:space="0" w:color="auto"/>
        <w:bottom w:val="none" w:sz="0" w:space="0" w:color="auto"/>
        <w:right w:val="none" w:sz="0" w:space="0" w:color="auto"/>
      </w:divBdr>
    </w:div>
    <w:div w:id="19701672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31</cp:revision>
  <dcterms:created xsi:type="dcterms:W3CDTF">2025-05-09T11:16:00Z</dcterms:created>
  <dcterms:modified xsi:type="dcterms:W3CDTF">2025-08-14T10:10:00Z</dcterms:modified>
</cp:coreProperties>
</file>